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ATA/828/2022 vom 23. August 2022</w:t>
      </w:r>
    </w:p>
    <w:p>
      <w:r>
        <w:t>GE Cour de justice, 2022-08-23, FR</w:t>
      </w:r>
    </w:p>
    <w:p>
      <w:r>
        <w:rPr>
          <w:b/>
        </w:rPr>
        <w:t xml:space="preserve">Quelle: </w:t>
      </w:r>
      <w:r>
        <w:t>https://mcp.opencaselaw.ch/entscheid/ge_gerichte_ATA_828_2022</w:t>
      </w:r>
    </w:p>
    <w:p>
      <w:r>
        <w:t>FR: GE_GERICHTE ATA/828/2022 du 23 août 2022</w:t>
      </w:r>
    </w:p>
    <w:p>
      <w:r>
        <w:t>IT: GE_GERICHTE ATA/828/2022 del 23 agosto 2022</w:t>
      </w:r>
    </w:p>
    <w:p>
      <w:pPr>
        <w:pStyle w:val="Heading2"/>
      </w:pPr>
      <w:r>
        <w:t>Regeste</w:t>
      </w:r>
    </w:p>
    <w:p>
      <w:r>
        <w:t>Résumé: En procédant à la réévaluation de l’ensemble de ses fonctions, dont celle de la recourante, l’établissement de droit public en cause n’a commis aucun abus de la très grande liberté d’appréciation dont il dispose pour organiser les rapports avec son personnel. Rejet du recours.</w:t>
      </w:r>
    </w:p>
    <w:p>
      <w:pPr>
        <w:pStyle w:val="Heading2"/>
      </w:pPr>
      <w:r>
        <w:t>Erwägungen</w:t>
      </w:r>
    </w:p>
    <w:p>
      <w:r>
        <w:rPr>
          <w:b/>
        </w:rPr>
        <w:t>E. 26</w:t>
      </w:r>
    </w:p>
    <w:p>
      <w:r>
        <w:t>septembre 2010 - LOJ - E 2 05 ; art. 62 al. 1 let. a de la loi sur la procédure administrative du 12 septembre 1985 - LPA - E 5 10). 2)</w:t>
      </w:r>
    </w:p>
    <w:p>
      <w:r>
        <w:t>Selon l’art. 60 al. 1 let. b LPA, a qualité pour recourir toute personne qui est touchée directement par une décision et a un intérêt digne de protection à ce qu’elle soit annulée ou modifiée.</w:t>
      </w:r>
    </w:p>
    <w:p>
      <w:r>
        <w:t>Tel est le cas en l’espèce, dès lors que la recourante conteste la collocation au niveau « H » de sa fonction d’« évaluateur économique AI », estimant qu’elle devrait être colloquée au niveau « G » de l’échelle des traitements, ce qui entraînerait une augmentation, même minime, de son salaire (ATA/12/2022 du 11 janvier 2022 consid. 2). Le recours est donc recevable sous cet angle également, étant précisé que, selon la jurisprudence l’acte par lequel une administration se prononce sur des prétentions salariales d’un employé en relation avec la classification d’une fonction répond à la notion de décision (ATA/1271/2021 du 23 novembre 2021 consid. 1 et les références citées). 3)</w:t>
      </w:r>
    </w:p>
    <w:p>
      <w:r>
        <w:t>La recourante sollicite préalablement plusieurs mesures d’instruction.</w:t>
      </w:r>
    </w:p>
    <w:p>
      <w:r>
        <w:t>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1C_762/2021 du 1er mars 2022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t>b. En l’espèce, malgré la production de différentes pièces en lien avec le processus de positionnement des fonctions, la recourante sollicite que soit remis le dossier de l’intimé dans son intégralité, en particulier le récapitulatif des classes dans lesquelles ont été colloquées chaque fonction avant et avec le nouveau système, les échanges avec l’OPE, de même que les cahiers des charges des fonctions colloquées aux niveaux « F », « G » et « H ».</w:t>
      </w:r>
    </w:p>
    <w:p>
      <w:r>
        <w:t>- 18/26 - A/2772/2021</w:t>
      </w:r>
    </w:p>
    <w:p>
      <w:r>
        <w:t>Dès lors que lesdits cahiers des charges ont été produits, sa demande à ce sujet devient sans objet. À cela s’ajoute que, s’agissant des autres fonctions de l’OCAS, celui-ci a versé au dossier un tableau « Excel » contenant un comparatif des responsabilités des différents cahiers des charges et fonctions en son sein et qui reprend le contenu de l’ensemble des cahiers des charges, étant précisé que lors du processus de positionnement des fonctions, l’ensemble des cahiers des charges a été mis à disposition des collaborateurs sur l’intranet de l’OCAS. Les documents versés au dossier sont dès lors suffisants pour trancher le litige, sans qu’il ne soit nécessaire de donner suite à la requête de la recourante. Le dossier contient en outre plusieurs récapitulatifs des classes de fonctions avant et après l’introduction du nouveau système, si bien qu’il n’y a pas non plus lieu de faire droit à sa requête de ce point de vue.</w:t>
      </w:r>
    </w:p>
    <w:p>
      <w:r>
        <w:t>Il en va de même de sa demande visant à la production des échanges entre l’OCAS et l’OPE et du procès-verbal de la séance avec l’OPE du 16 septembre 2019, dès lors qu’il ressort du dossier qu’à la suite desdits échanges, l’autorité intimée n’était pas satisfaite de la collocation proposée par l’OPE, qui ne prenait pas en compte ses spécificités, et qu’après l’abandon du projet SCORE, le processus a été poursuivi par l’OCAS, sans égard audit projet. L’on ne voit dès lors pas en quoi de tels échanges seraient pertinents pour l’issue du litige, étant précisé qu’en matière d’évaluation des fonctions, seules les pièces susceptibles d’affecter la situation juridique du membre du personnel doivent lui être accessibles, au regard du très large pouvoir d’appréciation dont l’employeur dispose (ATA/1025/2021 du 5 octobre 2021 consid. 6c).</w:t>
      </w:r>
    </w:p>
    <w:p>
      <w:r>
        <w:t>À cela s’ajoute que l’autorité intimée a, tout au long du processus, tant oralement que par écrit, tenu ses collaborateurs informés des principes du nouveau modèle de positionnement des fonctions et de la méthode utilisée, si bien que la recourante a disposé de tous les éléments nécessaires à la compréhension de la manière par laquelle sa fonction a été positionnée. Pour les mêmes motifs, l’audition du personnel de l’OPE ne sera pas ordonnée, pas plus que celle du personnel de l’OCAS.</w:t>
      </w:r>
    </w:p>
    <w:p>
      <w:r>
        <w:t>S’agissant de son audition, outre le fait qu’elle ne dispose d’aucun droit à être entendue oralement, la recourante a déjà pu s’exprimer lors d’une séance devant la commission RH du conseil d’administration, ce qu’elle ne conteste pas. Elle a aussi été en mesure de s’exprimer par écrit à plusieurs reprises pour faire valoir son point de vue, tant durant la procédure non contentieuse, et ce depuis 2019, que judiciaire.</w:t>
      </w:r>
    </w:p>
    <w:p>
      <w:r>
        <w:t>Le dossier contenant tous les éléments nécessaires pour trancher le litige, il ne sera pas fait droit aux réquisitions de preuves de la recourante.</w:t>
      </w:r>
    </w:p>
    <w:p>
      <w:r>
        <w:t>- 19/26 - A/2772/2021 4)</w:t>
      </w:r>
    </w:p>
    <w:p>
      <w:r>
        <w:t>Le litige a trait au nouveau modèle d’organisation de l’autorité intimée et du positionnement de la fonction d’« évaluateur économique AI » occupée par la recourante. 5)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t>Il n’en résulte toutefois pas que l’autorité est libre d’agir comme bon lui semble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t>b. L’évaluation de fonctions contient, par la force des choses, une grande part d’appréciation, dont la concrétisation dépend de la façon dont une certaine tâche est perçue par la société, respectivement par l’employeur (ATF 125 II 385 consid. 5b et les références citées ; ATA/1027/2021 du 5 octobre 2021 consid. 8). Le point de savoir si différentes activités doivent être considérées comme étant de même valeur dépend d’estimations qui peuvent conduire à des résultats différents. Dans ce domaine, le pouvoir d’examen du juge est donc limité. Il doit ainsi en principe uniquement s’attacher à contrôler le respect des principes constitutionnels et à sanctionner, le cas échéant, l’abus du pouvoir d’appréciation (ATF 129 I 161 consid. 3.2 ; arrêt du Tribunal fédéral 1C_245/2007 du 30 octobre 2007 consid. 2 ; ATA/1027/2021 précité consid. 8 et les références citées).</w:t>
      </w:r>
    </w:p>
    <w:p>
      <w:r>
        <w:t>Il appartient au recourant de démontrer, motivation précise à l’appui, que les conditions restrictives précitées sont réunies, étant rappelé que des critiques de nature appellatoire sont dans ce cadre inadmissibles (ATA/423/2021 du 20 avril 2021 consid. 5e et les références citées). 6)</w:t>
      </w:r>
    </w:p>
    <w:p>
      <w:r>
        <w:t>La recourante reproche à l’autorité intimée d’avoir contrevenu aux principes d’égalité de traitement, de proportionnalité et d’interdiction de l’arbitraire en procédant au positionnement de sa fonction.</w:t>
      </w:r>
    </w:p>
    <w:p>
      <w:r>
        <w:t>a. Une décision ou un arrêté viole le principe de l’égalité de traitement consacré à l’art. 8 al. 1 Cst. lorsqu’il établit des distinctions juridiques qui ne se justifient par aucun motif raisonnable au regard de la situation de fait à</w:t>
      </w:r>
    </w:p>
    <w:p>
      <w:r>
        <w:t>- 20/26 - A/2772/2021 réglementer ou qu’il omet de faire des distinctions qui s’imposent au vu des circonstances. Il faut que le traitement différent ou semblable injustifié se rapporte à une situation de fait importante (ATF 142 I 195 consid. 6.1 ; arrêt du Tribunal fédéral 2C_178/2022 du 16 mars 2022 consid. 5.1).</w:t>
      </w:r>
    </w:p>
    <w:p>
      <w:r>
        <w:t>b.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144 I 170 consid. 7.3 ; arrêt du Tribunal fédéral 1C_397/2021 du 7 février 2022 consid. 2.1.2).</w:t>
      </w:r>
    </w:p>
    <w:p>
      <w:r>
        <w:t>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7) a. L’art. 6 LOCAS prévoit que le conseil d’administration, à savoir l’un des trois organes de l’OCAS (art. 3 let. a LOCAS) au sein duquel siègent notamment deux membres élus par le personnel (art. 4 al. 1 let. e LOCAS), est investi des pouvoirs les plus étendus pour la gestion de l’OCAS et établit notamment le statut du personnel et fixe les traitements après consultation des organisations représentatives du personnel, la loi générale relative au personnel de l’administration cantonale, du pouvoir judiciaire et des établissements publics médicaux du 4 décembre 1997 (LPAC - B 5 05) étant applicable.</w:t>
      </w:r>
    </w:p>
    <w:p>
      <w:r>
        <w:t>b. Selon le règlement de classification, toutes les fonctions sont réparties en onze classes de traitement, identifiées par les lettres « A » à « K » (art. 2 du règlement de classification). Une fonction inclut différentes activités qui correspondent chacune à un cahier des charges. Chaque fonction est définie dans un descriptif de fonction qui correspond à un niveau d’exigence, de responsabilité et de prérequis nécessaires communes aux différents cahiers des charges qui lui sont rattachés. La direction adopte le cahier des charges sur proposition des RH et après consultation des personnes intéressées (art. 3 du règlement de classification). Au surplus, l’art. 2 de la loi concernant le traitement et les diverses prestations alloués aux membres du personnel de l’État, du pouvoir judiciaire et des établissements hospitaliers du 21 décembre 1973 (LTrait - B 5 15) est applicable par analogie aux fonctions (art. 4 du règlement de classification).</w:t>
      </w:r>
    </w:p>
    <w:p>
      <w:r>
        <w:t>- 21/26 - A/2772/2021</w:t>
      </w:r>
    </w:p>
    <w:p>
      <w:r>
        <w:t>S’agissant de la procédure de mise en œuvre, l’art. 5 du règlement de classification prévoit que pour l’ensemble du personnel de l’OCAS, les fonctions existant avant l’entrée en vigueur du nouveau modèle sont positionnées dans la nouvelle classification avec effet au 1er juillet 2021, la méthode de conversion utilisée étant celle de la bascule horizontale, soit le positionnement sur l’échelle de traitement dans la nouvelle classe de fonction et sur l’annuité dont le traitement est immédiatement supérieur au traitement avant la bascule (al. 1). Si un collaborateur se retrouvait dans une classe de traitement inférieure, le niveau de traitement antérieur au changement serait conservé, l’intéressé pouvant bénéficier d’éventuelles augmentations de traitement dès que la rémunération correspondant à sa nouvelle classe de traitement serait égale ou supérieure à celle résultant de l’ancienne classification (al. 2). Le positionnement de la fonction et de la classe de traitement associée est notifiée au collaborateur par une décision du conseil d’administration (al. 3). Si un collaborateur n’accepte pas le positionnement de la fonction et/ou la classe de traitement attribuée, il peut adresser une opposition formelle au conseil d’administration dans un délai de trente jours suivant la notification de la décision (al. 4). La commission RH du conseil d’administration est chargée par ce dernier de traiter l’opposition et de recevoir le collaborateur afin d’entendre sa motivation et examiner sa demande (al. 5). Le conseil d’administration adopte une décision sur opposition concernant le positionnement de la fonction et/ou la classe de traitement du collaborateur concerné, cette décision étant sujette à recours auprès de la chambre administrative (al. 6).</w:t>
      </w:r>
    </w:p>
    <w:p>
      <w:r>
        <w:t>Le règlement de classification renvoie à l’application, par analogie, de la grille salariale associée aux classes de fonction de l’État selon la LTrait. L’art. 4 al. 2 LTrait prévoit en particulier que le classement des fonctions doit tenir compte du rang hiérarchique et des caractéristiques de chaque fonction en considération notamment de l’étendue qualitative et quantitative des attributions dévolues et des obligations à assumer, des connaissances professionnelles et aptitudes requises, de l’autonomie et des responsabilités, des exigences, inconvénients, difficultés et dangers que comporte l’exercice de la fonction.</w:t>
      </w:r>
    </w:p>
    <w:p>
      <w:r>
        <w:t>Par ailleurs, aux termes de l’art. 6 al. 1 du règlement d’application de la LPAC du 24 février 1999 (RPAC - B 5 05.01), applicable à l’OCAS en vertu de l’art. 1 al. 1 let. f LPAC, les fonctions sont définies et décrites dans un cahier des charges qui fixe notamment les tâches, compétences et horaires, du titulaire de la fonction. 8) a. En l’espèce, la recourante ne soutient pas que le nouveau positionnement des fonctions de l’OCAS se serait accompagné d’une modification de son cahier des charges, ce qui ne ressort du reste pas du dossier, ni que le cahier des charges du 30 mars 2021 ne décrirait pas correctement ses tâches actuelles, étant précisé que, comme l’a indiqué l’autorité intimée, l’objectif du nouveau modèle de classification des fonctions n’était pas de procéder à leur revalorisation ou à leur</w:t>
      </w:r>
    </w:p>
    <w:p>
      <w:r>
        <w:t>- 22/26 - A/2772/2021 réévaluation salariale, mais à une analyse de leur positionnement, dans un souci de cohérence. Dans ce cadre, la recourante a conservé sa précédente classe salariale, à savoir la classe 16 de l’échelle des traitements, correspondant au niveau « H » de l’OCAS.</w:t>
      </w:r>
    </w:p>
    <w:p>
      <w:r>
        <w:t>b. La recourante est d’avis que sa fonction aurait dû être intégrée dans la catégorie « expert », à l’instar de celle de « psychologue conseiller en réadaptation », de « conseiller en réadaptation » et d’« enquêteur spécialisé AI », et non dans celle de « spécialiste », comme pour la fonction de « conseiller- réviseur », étant donné que la titularité d’une formation en comptabilité, à savoir une formation spécifique, serait nécessaire pour accomplir les missions du poste.</w:t>
      </w:r>
    </w:p>
    <w:p>
      <w:r>
        <w:t>Ce faisant, la recourante se limite toutefois à substituer son appréciation à celle de l’autorité intimée et n’apporte aucun élément concret permettant d’affirmer qu’une telle formation serait indispensable à l’accomplissement des missions de sa fonction. Le fait qu’une nouvelle recrue n’étant pas au bénéfice de cette formation soit amenée à traiter des dossiers simples ne permet pas encore d’arriver à une autre conclusion, au vu de l’expérience de la recourante dans son poste, question distincte de celle relative à l’exigence d’une formation spécifique. Ainsi, rien ne permet d’affirmer qu’un diplôme d’expert-comptable serait requis pour déférer aux mandats d’enquêtes confiés et rédiger les rapports versés au dossier. À cela s’ajoute que la formation utile au poste englobe des connaissances comptables, puisqu’est requise une formation dispensée par une haute école de commerce, un brevet en finance et en comptabilité constituant un atout. Par ailleurs, si le travail de la recourante est certes important, celui des autres fonctions intervenant sur un dossier l’est également, comme l’a indiqué l’autorité intimée en se référant aux décisions prises par le case manager ou le juriste, et ce dans un contexte plus global, ce qui ne prête pas le flanc à la critique.</w:t>
      </w:r>
    </w:p>
    <w:p>
      <w:r>
        <w:t>L’on ne décèle ainsi aucun abus de la grande liberté d’appréciation dont l’autorité intimée dispose en matière d’évaluation des fonctions en requérant du titulaire du poste qu’il soit au bénéfice de la formation susmentionnée et non spécifiquement d’un diplôme d’expert-comptable ou d’une formation spécifique en matière de comptabilité, si bien que la qualification de spécialiste dudit poste, et non d’expert, apparaît fondée.</w:t>
      </w:r>
    </w:p>
    <w:p>
      <w:r>
        <w:t>c. La recourante prétend que sa situation serait comparable aux fonctions de « conseiller en réadaptation », de « psychologue conseiller en réadaptation » et d’« enquêteur spécialisé AI ». Il ressort toutefois du cahier des charges des deux premières fonctions des exigences spécifiques au niveau de la formation requise, à savoir la titularité d’un master, de niveau universitaire, respectivement en sciences sociales et en psychologie. À cela s’ajoute que pour ces trois fonctions, selon leur cahier des charges, les tâches dévolues aux titulaires de ces postes diffèrent également de celles de l’« évaluateur économique AI », la recourante n’apportant aucun élément permettant d’affirmer que tel ne serait pas le cas. Dans ce cadre,</w:t>
      </w:r>
    </w:p>
    <w:p>
      <w:r>
        <w:t>- 23/26 - A/2772/2021 s’agissant en particulier de la fonction d’« enquêteur spécialisé AI », l’autorité intimée a indiqué que son niveau de responsabilité était supérieur à celui de la fonction de la recourante, au regard notamment des incidences des dénonciations pénales sur l’OCAS et de sa participation à la définition de la stratégie de celui-ci. Ces éléments ne prêtent ainsi pas le flanc à la critique, au vu de la marge de manœuvre importante dont bénéficie l’autorité intimée dans la définition de ses fonctions. Par ailleurs, le fait que certains titulaires de ces fonctions, comme le soutient la recourante, n’auraient pas de formation spécifique n’y change rien et ne permet pas encore d’affirmer que l’autorité intimée aurait commis une inégalité de traitement en les plaçant dans la catégorie « experts », contrairement à la fonction de l’intéressée, qualifiée de « spécialiste ».</w:t>
      </w:r>
    </w:p>
    <w:p>
      <w:r>
        <w:t>La recourante allègue que sa situation serait différente de celle de la fonction de « conseiller-réviseur », pourtant colloquée au même niveau que la sienne, ce qui justifierait une collocation à un niveau supérieur la concernant. Si les activités relatives à ces deux fonctions sont certes différentes, l’autorité intimée a néanmoins considéré que, selon la méthode comparative qu’elle a employée, un rapprochement entre ces fonctions se justifiait au niveau des exigences, des compétences et des formations, étant précisé que, dans les deux cas, une formation de même niveau est exigée. Ce faisant, l’autorité intimée n’apparaît pas avoir abusé de la grande liberté d’appréciation dont elle bénéficiait dans ce cadre, la chambre de céans n’ayant pas à s’immiscer dans des décisions relavant de la gestion du personnel, comme en l’espèce l’affectation d’une fonction dans un niveau salarial, ce d’autant moins que la recourante se limite à opposer son appréciation à celle de ladite autorité.</w:t>
      </w:r>
    </w:p>
    <w:p>
      <w:r>
        <w:t>d. À cela s’ajoute que la procédure prévue par le règlement de classification a été suivie, puisque la recourante a été en mesure de former opposition contre la décision du 20 avril 2021 du conseil d’administration la concernant et faire valoir ses critiques dans ce cadre. Elle a également été entendue par la commission des RH du conseil d’administration, puis a recouru auprès de la chambre de céans à la suite du rejet de son opposition.</w:t>
      </w:r>
    </w:p>
    <w:p>
      <w:r>
        <w:t>La recourante prétend toutefois qu’elle n’aurait pas été en mesure de participer au processus de repositionnement des fonctions au sein de l’OCAS. Outre le fait que ledit processus a été mené par la direction de l’autorité intimée, qui a sollicité le concours des hiérarchies de chaque domaine pour effectuer le travail de refonte des descriptifs des fonctions, l’intéressée perd de vue qu’à la suite des séances de février 2019 présentant aux collaborateurs le nouveau concept de positionnement des postes, un cahier des charges lui a été communiqué, au sujet duquel elle a écrit à la direction, lui faisant part de ses remarques à ce sujet. Elle a également été conviée à une séance avec la direction dans ce cadre, à laquelle elle n’a toutefois pas assisté, se trouvant alors en vacances. Même si la direction a rejeté sa demande de réévaluation et a maintenu le positionnement de</w:t>
      </w:r>
    </w:p>
    <w:p>
      <w:r>
        <w:t>- 24/26 - A/2772/2021 son poste au niveau « H », elle a néanmoins pu participer au processus mis en œuvre par son employeur.</w:t>
      </w:r>
    </w:p>
    <w:p>
      <w:r>
        <w:t>Par ailleurs, il ressort des explications de l’autorité intimée, dont il n’y a pas lieu de douter, que la commission du personnel a été associée aux discussions initiales, une présentation du nouveau modèle de positionnement des postes et d’organisation lui ayant été faite durant l’année 2018. À cela s’ajoute que la direction a régulièrement présenté l’avancée du projet au conseil d’administration, au sein duquel siègent notamment deux membres élus par le personnel.</w:t>
      </w:r>
    </w:p>
    <w:p>
      <w:r>
        <w:t>e. Au demeurant, rien n’indique que l’autorité intimée aurait violé le principe de proportionnalité, la recourante n’ayant subi aucun préjudice du fait du repositionnement des fonctions, puisque son niveau salarial a été maintenu en classe 16 de l’échelle des traitements, conformément à la méthode appliquée.</w:t>
      </w:r>
    </w:p>
    <w:p>
      <w:r>
        <w:t>f. Il résulte de l’ensemble de ces éléments que l’autorité intimée n’a violé aucun des principes susmentionnés en procédant à un repositionnement de ses fonctions et en établissant le cahier des charges de la recourante, au regard de son large pouvoir d’appréciation en la matière. Il s’ensuit que le recours sera rejeté. 9)</w:t>
      </w:r>
    </w:p>
    <w:p>
      <w:r>
        <w:t>Vu du litige, un émolument de CHF 1'000.- sera mis à la charge de la recourante, qui succombe (art. 87 al. 1 LPA), et aucune indemnité de procédure ne lui sera allouée, pas plus qu’à l’autorité intimée,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