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ATA/826/2024 vom 9. Juli 2024</w:t>
      </w:r>
    </w:p>
    <w:p>
      <w:r>
        <w:t>GE Cour de justice, 2024-07-09, FR</w:t>
      </w:r>
    </w:p>
    <w:p>
      <w:r>
        <w:rPr>
          <w:b/>
        </w:rPr>
        <w:t xml:space="preserve">Quelle: </w:t>
      </w:r>
      <w:r>
        <w:t>https://mcp.opencaselaw.ch/entscheid/ge_gerichte_ATA_826_2024</w:t>
      </w:r>
    </w:p>
    <w:p>
      <w:r>
        <w:t>FR: GE_GERICHTE ATA/826/2024 du 9 juillet 2024</w:t>
      </w:r>
    </w:p>
    <w:p>
      <w:r>
        <w:t>IT: GE_GERICHTE ATA/826/2024 del 9 luglio 2024</w:t>
      </w:r>
    </w:p>
    <w:p>
      <w:pPr>
        <w:pStyle w:val="Heading2"/>
      </w:pPr>
      <w:r>
        <w:t>Regeste</w:t>
      </w:r>
    </w:p>
    <w:p>
      <w:r>
        <w:t>Résumé: Confirmation du jugement du TAPI portant sur une autorisation de modifier une installation pour téléphonie mobile existante. Le recours est recevable pour avoir été interjeté en temps utile. Respect du droit de l'environnement, en particulier en matière de rayonnement non ionisant. Confirmation des valeurs calculées (VLInst) en relation avec la valeur limite de l'installation. Recours rejeté.</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 ; art. 149 LCI).</w:t>
      </w:r>
    </w:p>
    <w:p>
      <w:r>
        <w:rPr>
          <w:b/>
        </w:rPr>
        <w:t>E. 2</w:t>
      </w:r>
    </w:p>
    <w:p>
      <w:r>
        <w:t>cm » et « +2 cm 2.540 kg » sur les enveloppes, ce qui corrobore cette inférence. De plus, deux timbres humides ont été collés sur les enveloppes sur lesquels il est écrit « Affranchissement manquant » et « En cas d'indications manquantes de l'expéditeur, la taxe est perçue auprès du destinataire ».</w:t>
      </w:r>
    </w:p>
    <w:p>
      <w:r>
        <w:t>- 15/38 - A/226/2023 En l'occurrence, compte tenu des récépissés produits qui confirment bien que le recours a été déposé le 19 octobre 2023, dernier jour du délai de recours, auprès de « My Post 24 » et des enseignements qui ressortent de l'ATA/836/2022 précité, la chambre de céans retiendra que l'acte de recours a bien été remis à un bureau de poste suisse ce jour-là (sur la notion des automates postaux « My Post 24 », voir Stéphane GRODECKI/Romain JORDAN, Code annoté de procédure administrative genevoise, 2017, p. 86 n. 308 ad art. 17). Un éventuel problème d'affranchissement serait, au surplus, sans incidence dans la mesure où la chambre de céans a bel et bien reçu l'envoi qui lui était destiné (arrêt du Tribunal fédéral 4A_216/2021 du 2 novembre 2021 consid. 2.5). Le recours a donc été interjeté en temps utile.</w:t>
      </w:r>
    </w:p>
    <w:p>
      <w:r>
        <w:rPr>
          <w:b/>
        </w:rPr>
        <w:t>E. 2.1</w:t>
      </w:r>
    </w:p>
    <w:p>
      <w:r>
        <w:t>Aux termes de l’art. 62 al. 1 let. a LPA, le délai de recours est de 30 jours s’il s’agit d’une décision finale. Le délai court dès le lendemain de la notification de la décision (art. 62 al. 3 1ère phr. LPA). Selon l'art. 17 LPA, les délais commencent à courir le lendemain de leur communication ou de l’événement qui les déclenche (al. 1). Les écrits doivent parvenir à l'autorité ou être remis à son adresse, à un bureau de poste suisse ou à une représentation diplomatique ou consulaire suisse au plus tard le dernier jour du délai avant minuit (al. 4).</w:t>
      </w:r>
    </w:p>
    <w:p>
      <w:r>
        <w:rPr>
          <w:b/>
        </w:rPr>
        <w:t>E. 2.2</w:t>
      </w:r>
    </w:p>
    <w:p>
      <w:r>
        <w:t>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La preuve de l'expédition d'un acte de procédure en temps utile incombe à la partie, respectivement à son avocat. Une preuve stricte est exigée, la vraisemblance prépondérante ne suffisant pas (arrêt du Tribunal fédéral 9C_564/2012 du 12 septembre 2012 consid. 2). Il convient en effet, en matière de délais, de s'en tenir à des principes simples et à des solutions claires, sous peine d'ouvrir la porte à de</w:t>
      </w:r>
    </w:p>
    <w:p>
      <w:r>
        <w:t>- 14/38 - A/226/2023 longues et oiseuses discussions, voire à des abus (arrêt du Tribunal fédéral 4A_374/2014 du 26 février 2015 consid. 3.2). Le pli recommandé est à cet égard une preuve aisée à établir, alors que, dans le cas d'un envoi par pli simple, la preuve peut être rapportée par différents moyens, en particulier par témoins (ATF 109 Ib 343 consid. 2b ; ATA/836/2022 du 23 août 2022 consid. 2a).</w:t>
      </w:r>
    </w:p>
    <w:p>
      <w:r>
        <w:rPr>
          <w:b/>
        </w:rPr>
        <w:t>E. 2.3</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149 IV 9 consid. 7.2 ; 149 III 12 consid. 3.3.1). En tant que l'interdiction du formalisme excessif sanctionne un comportement répréhensible de l'autorité dans ses relations avec le justiciable, elle poursuit le même but que le principe de la bonne foi (art. 5 al. 3 et 9 Cst. ; ATF 149 IV 9 consid. 7.2 et les références).</w:t>
      </w:r>
    </w:p>
    <w:p>
      <w:r>
        <w:rPr>
          <w:b/>
        </w:rPr>
        <w:t>E. 2.4</w:t>
      </w:r>
    </w:p>
    <w:p>
      <w:r>
        <w:t>En l’espèce, le jugement attaqué du 12 septembre 2023 ayant été notifié le 19 septembre 2023 – ce qui n’est pas contesté −, le délai de recours a commencé à courir le 20 septembre 2023 pour arriver à échéance le 19 octobre 2023. Les deux enveloppes contenant l’acte de recours et le bordereau de pièces portent les numéros de suivi 99.00.120067.10759457 et 99.00.120067.10759458. Selon le suivi des envois postaux ces plis ont été triés en vue de leur distribution le 20 octobre 2023 à Daillens Centre Colis, ce qui pourrait laisser croire que le recours a été déposé hors délai. Toutefois, le suivi de ces envois n'indique pas la date à laquelle ces enveloppes ont été déposées auprès d'un bureau de poste. De plus, le mandataire des recourants a produit les récépissés de « My Post 24 », lesquels confirment un dépôt le 19 octobre 2023 à 18h08 et 18h07 des deux lettres recommandées avec numéros de suivi 98.00.992205.00432864 et 98.00.992205.004328645. Selon le suivi d'envoi de ces numéros, le dépôt a bien eu lieu ce jour-là et à ce moment-là à « Uni-Mail My Post 24 ». Il s'agit également des numéros se trouvant sous les deux étiquettes blanches sur les enveloppes contenant l'écriture et les pièces. À l’instar de l'ATA/836/2022 du 23 août 2022, il apparaît que les plis recommandés contenant les numéros de suivi 98.00.992205.00432864 et 98.00.992205.004328645 ont été transformés en colis signature par la poste contenant le numéro de suivi 99.00.120067.10759457 et 99.00.120067.10759458. La raison à cela semble tenir au fait que le mandataire des recourants a envoyé les plis en « lettre recommandée » alors qu’il aurait dû, compte tenu du poids et de la taille des plis, les envoyer en « colis ». Il est d'ailleurs écrit, à la main « 2.38 kg +</w:t>
      </w:r>
    </w:p>
    <w:p>
      <w:r>
        <w:rPr>
          <w:b/>
        </w:rPr>
        <w:t>E. 3</w:t>
      </w:r>
    </w:p>
    <w:p>
      <w:r>
        <w:t>Il convient d'analyser la qualité pour recourir des recourants.</w:t>
      </w:r>
    </w:p>
    <w:p>
      <w:r>
        <w:rPr>
          <w:b/>
        </w:rPr>
        <w:t>E. 3.1</w:t>
      </w:r>
    </w:p>
    <w:p>
      <w:r>
        <w:t>En matière d'installation de téléphonie mobile, il a été jugé qu'ont qualité pour former opposition toutes les personnes qui habitent dans un rayon en dehors duquel est produit un rayonnement assurément inférieur à 10 % de la valeur limite de l'installation. Le droit d'opposition de ces personnes ne dépend pas du fait que le rayonnement concret sur leur immeuble, compte tenu de l'atténuation de la puissance dans la direction principale de propagation, s'élève à moins de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133 II 409 consid. 1.3 ; arrêt du Tribunal fédéral 1C_112/2007 du 29 août 2007 consid. 2 ; ATA/694/2012 du 16 octobre 2012 consid. 3).</w:t>
      </w:r>
    </w:p>
    <w:p>
      <w:r>
        <w:rPr>
          <w:b/>
        </w:rPr>
        <w:t>E. 3.2</w:t>
      </w:r>
    </w:p>
    <w:p>
      <w:r>
        <w:t>Bois 0 1 Toit de tuiles 0 1 Verre (p. ex. fenêtre) 0 1</w:t>
      </w:r>
    </w:p>
    <w:p>
      <w:r>
        <w:t>Le maximum spatial se détermine par balayage de l’antenne réceptrice et ceci en prenant en compte des ondes stationnaires dans le volume de mesure, de la polarisation de l’antenne de mesure (antenne réceptrice) et de l’orientation (azimut et élévation) de l’antenne de mesure. Les conditions de mesure suivantes s’appliquent : - distance minimale des murs, du sol, du plafond, du mobilier et des fenêtres : 50 cm ; - hauteur au-dessus du sol en intérieur: de 0,5 m à 1,75 m (Rapport technique : Méthode de mesure des stations de base 5G NR jusqu’à 6 GH, 2020, ch. 2.1, p. 6).</w:t>
      </w:r>
    </w:p>
    <w:p>
      <w:r>
        <w:rPr>
          <w:b/>
        </w:rPr>
        <w:t>E. 4</w:t>
      </w:r>
    </w:p>
    <w:p>
      <w:r>
        <w:t>Les recourants demandent la production par I______ et les autres opérateurs de téléphonie mobile de l'ensemble des documents techniques originaux des concepteurs des antennes faisant l'objet de la DD 1______ et des autres antennes exploitées sur le site, l'audition de R______ et une expertise judiciaire visant à déterminer si les données servant de base de calcul à la fiche de données spécifique au site datée du 5 avril 2022 sont conformes à la vérité. Ils sollicitent également la production des données détenues par I______ permettant de calculer la courbe</w:t>
      </w:r>
    </w:p>
    <w:p>
      <w:r>
        <w:t>- 16/38 - A/226/2023 d'atténuation réelle des émissions, notamment des émissions des antennes AIR3239878.36.ENV001, ainsi que la tenue d'un transport sur place.</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4.2</w:t>
      </w:r>
    </w:p>
    <w:p>
      <w:r>
        <w:t>En l'espèce, les recourants ont produit une analyse de la « conformité ORNI du projet de station de base I______ (GPAL) S______ (GE_2______B) P______ (GE3______-6) » du 18 octobre 2023 puis des « Remarques complémentaires » sur le projet de station de base I______ (GPAL) S______ (GE_2______B) P______ (GE3______-6). Ces deux documents contiennent la prise de position de R______ sur le dossier. Ces éléments s'ajoutent aux différents échanges d'écritures des parties devant le TAPI et la chambre administrative accompagné du dossier de l'autorité intimée et des différentes pièces produites, parmi lesquelles figurent des photographies du lieu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R______, d'ordonner la production de nouvelles pièces, une expertise ou un transport sur place. Il ne sera par conséquent pas donné suite aux demandes d'instruction complémentaire des recourants.</w:t>
      </w:r>
    </w:p>
    <w:p>
      <w:r>
        <w:rPr>
          <w:b/>
        </w:rPr>
        <w:t>E. 5</w:t>
      </w:r>
    </w:p>
    <w:p>
      <w:r>
        <w:t>Les recourants se plaignent d'une violation de leur droit d'être entendus sur plusieurs points. La version numérique transmise à leur avocat ne contenait pas l'autorisation de construire contestée. Le jugement attaqué faisait référence à la procédure A/3917/2020 laquelle ne figurait pas au dossier. Il en était de même de la décision du département d'annuler la décision du 23 octobre 2020 et de reprendre l'instruction. Une nouvelle enquête publique aurait dû être menée conformément au principe de la légalité. Enfin, les personnes ayant présenté des observations à la suite de la première enquête publique n'avaient pas été tenues informées de la reprise de la procédure ni de l'octroi de l'autorisation de construire délivrée.</w:t>
      </w:r>
    </w:p>
    <w:p>
      <w:r>
        <w:rPr>
          <w:b/>
        </w:rPr>
        <w:t>E. 5.1</w:t>
      </w:r>
    </w:p>
    <w:p>
      <w:r>
        <w:t>Le droit d’être entendu est une garantie de nature formelle dont la violation entraîne, lorsque sa réparation par l'autorité de recours n'est pas possible,</w:t>
      </w:r>
    </w:p>
    <w:p>
      <w:r>
        <w:t>- 17/38 - A/226/2023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Cst. ;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3e éd., 2011, p. 322 ch. 2.2.7.4 et p. 362 ch. 2.3.3.1; Thierry TANQUEREL, op. cit., p. 526 s. n. 1553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5.2</w:t>
      </w:r>
    </w:p>
    <w:p>
      <w:r>
        <w:t>; Joel DRITTENBASS, Risk-Based Approach als</w:t>
      </w:r>
    </w:p>
    <w:p>
      <w:r>
        <w:t>- 29/38 - A/226/2023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5.3</w:t>
      </w:r>
    </w:p>
    <w:p>
      <w:r>
        <w:t>À teneur de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w:t>
      </w:r>
    </w:p>
    <w:p>
      <w:r>
        <w:rPr>
          <w:b/>
        </w:rPr>
        <w:t>E. 5.4</w:t>
      </w:r>
    </w:p>
    <w:p>
      <w:r>
        <w:t>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141 II 169 consid. 3.1 ; arrêt du Tribunal fédéral 2C_1020/2022 du 12 avril 2023 consid. 5.1). Hormis en matière pénale et dans le domaine fiscal, le principe de la légalité ne constitue pas un droit constitutionnel distinct, mais uniquement un principe constitutionnel (ATF 146 II 56 consid. 2.1).</w:t>
      </w:r>
    </w:p>
    <w:p>
      <w:r>
        <w:rPr>
          <w:b/>
        </w:rPr>
        <w:t>E. 5.5</w:t>
      </w:r>
    </w:p>
    <w:p>
      <w:r>
        <w:t>En l'espèce, les recourants n'ont pas joint, à leur recours formé par-devant le TAPI, l'autorisation de construire délivrée le 14 décembre 2022 à l'intimée. Il ressort néanmoins du dossier du TAPI que le département a produit en annexe de sa réponse du 24 mars 2023 « notre dossier DD 1______ » dans lequel se trouve l'autorisation en question dans la fourre intitulée « REQUÊTE ». Les recourants étaient donc libres de la consulter au greffe du TAPI. En toute hypothèse, force est de constater qu'ils ont pu valablement faire valoir au stade du recours leurs griefs en toute connaissance de cause, puisque leur recours était motivé en droit. Ils n'ont donc subi aucun préjudice du fait qu'ils n'étaient pas en possession de l'autorisation en question. Leur droit d'être entendus n'a donc pas été violé sur ce point. Il est exact que le jugement du TAPI fait mention, dans sa partie « En fait », d'éléments de la procédure A/3917/2020, laquelle ne figure pas au présent dossier. Néanmoins, l'absence de pièces relatives à cette cause se justifie par le fait que seule I______ avait recouru contre le refus d'autorisation du 23 octobre 2020 et que les recourants n'étaient pas parties à cette procédure. En tous les cas, la chambre administrative ne voit pas en quoi des éléments ressortant de la procédure A/3917/2020 auraient été utiles aux recourants. Il ressort d'ailleurs de la décision du 23 octobre 2020 que le refus était motivé non pas pour des raisons techniques mais compte tenu du moratoire instauré par le canton de Genève. Les recourants auraient d'ailleurs pu prendre connaissance du contenu de cette décision s'ils avaient consulté le dossier de la présente procédure, puisque celle-ci y figure dans la fourre</w:t>
      </w:r>
    </w:p>
    <w:p>
      <w:r>
        <w:t>- 19/38 - A/226/2023 intitulée « REQUÊTE » du dossier du département. On ne discerne par conséquent aucune violation de leur droit d'être entendus. Les recourants ne sauraient être suivis sur le besoin de procéder à une nouvelle enquête publique à la suite de l'annulation de la décision du 23 octobre 2020. En effet, comme indiqué ci-dessus, cette décision était motivée par le moratoire sur les antennes décrété par le canton de Genève. Or, à la suite de l'arrêt de la chambre constitutionnelle ACST/11/2021 précité, lequel est librement consultable sur le site internet du Pouvoir judiciaire (https://justice.ge.ch/fr/contenu/jurisprudence), le canton de Genève a levé ledit moratoire le 28 avril 2021 comme cela ressort du point presse du Conseil d'État du même jour (disponible sur https://www.ge.ch/document/point-presse-du-conseil-etat-du-28-avril-2021#/ extrait/ 24575, consulté le 12 juin 2024). La presse s'en est d'ailleurs fait largement écho. Le motif principal ayant conduit à la décision de refus n'étant plus actuel, le département a fait application de l'art. 67 al. 2 LPA et l'a annulée, ce qu'il était en droit de faire. De plus, il ne s'agit pas d'une nouvelle demande d'autorisation de construire portant sur un objet différent ou se référant à une situation nouvelle. Il s'agit toujours des mêmes installations et projet. Une nouvelle fiche de données spécifique au site datée du 5 avril 2022 concernant les stations de base pour la téléphonie mobile et raccordement sans fil (WLL) a certes été transmise au département le 11 avril 2022. Toutefois, cette mise à jour a été rendue nécessaire par la publication, le 23 février 2021, de l’aide à l’exécution relative aux antennes adaptatives. Il ne s'agissait aucunement de la soumission au département d'un projet de construction modifié en vue de tenir compte des raisons ayant justifié le précédent refus du 23 octobre 2020. Au surplus, la procédure menée par le département a été en tous points respectée. En effet, il ressort du dossier que la requête d'autorisation de construire a été publiée dans la FAO le 11 décembre 2019, de sorte que les recourants ont été informés du dépôt de la demande. Ils ont d'ailleurs formulé des observations le 8 janvier 2020. L'autorisation litigieuse a également été publiée dans la FAO le jour où elle a été délivrée, soit le 14 décembre 2022 et l'une des recourantes, à savoir G______, a également été informée personnellement, le même jour, de ladite délivrance, conformément à l'art. 19 al. 2 RCI, ce qui lui a permis d'interjeter recours devant l'instance précédente. Dans ces circonstances, les griefs de violation du droit d'être entendu et du principe de la légalité sont mal fondés.</w:t>
      </w:r>
    </w:p>
    <w:p>
      <w:r>
        <w:rPr>
          <w:b/>
        </w:rPr>
        <w:t>E. 6</w:t>
      </w:r>
    </w:p>
    <w:p>
      <w:r>
        <w:t>Les recourants considèrent que la CA aurait dû préaviser le projet.</w:t>
      </w:r>
    </w:p>
    <w:p>
      <w:r>
        <w:rPr>
          <w:b/>
        </w:rPr>
        <w:t>E. 6.1</w:t>
      </w:r>
    </w:p>
    <w:p>
      <w:r>
        <w:t>Selon l'art. 39 LCI, le règlement d'application fixe les dimensions et la nature des saillies dont la construction peut être autorisée en dehors de la façade ou du gabarit de toiture.</w:t>
      </w:r>
    </w:p>
    <w:p>
      <w:r>
        <w:t>- 20/38 - A/226/2023 L'art. 25 RCI précise qu'en dehors de l’alignement ou à front des voies publiques ou privées, peuvent être autorisés les saillies, telles que socles, vitrines, consoles, cordons, tablettes, pilastres et chaînages, à condition qu’elles ne dépassent pas l’alignement de plus d’un centième (1/100) de la distance entre bâtiments, mesurée selon les dispositions légales et en aucun cas 0.30 m au-dessus de 2.70 m de hauteur, et 0.20 m au-dessous de cette mesure (al. 1 let. a), les avant-toits et corniches, à condition qu’ils ne dépassent pas l’alignement de plus du quinzième (1/15) de la distance entre alignements et en aucun cas 1,50 m (al. 1 let. b), des marquises, à condition qu’aucun de leurs éléments : ne se trouve à moins de 2.70 m au-dessus du sol, ne se trouve à moins de 0.50 m de l’alignement du trottoir, ne s’approche à moins de 1.80 m de l’axe d’une voie ferrée (al. 1 let. c ch. 1 à 3), sur les voies mesurant au moins 12 m de largeur entre alignement, de petits bow-windows ne dépassant pas 3.50 m de longueur en projection au sol, des balcons et tout autre avant-corps de la façade, à condition que : ils se trouvent à 3.50 m de hauteur au moins au-dessus du sol, ils ne dépassent pas l’alignement de plus du quinzième (1/15) de la distance entre alignements et en aucun cas 1.50 m, leurs longueurs cumulées en projection au sol ne dépassent pas le tiers (1/3) de celle de la façade multipliée par le nombre d’étages, ne se trouvent à moins de 0.50 m de l’alignement du trottoir, ne s’approchent à moins de 1.80 m de l’axe d’une voie ferrée (al. 1 let. d ch. 1 à 5). La longueur totale des autres avant-corps de la façade, calculée selon la let. d ch. 3, peut, sur préavis favorable de la CA, être disposée librement sur la façade (art. 25 al. 2 let. c RCI).</w:t>
      </w:r>
    </w:p>
    <w:p>
      <w:r>
        <w:rPr>
          <w:b/>
        </w:rPr>
        <w:t>E. 6.2</w:t>
      </w:r>
    </w:p>
    <w:p>
      <w:r>
        <w:t>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ATA/838/2023 du 9 août 2023 consid. 5.5 ; ATA/180/2008 du 15 avril 2008 consid. 16). Le Tribunal fédéral a encore précisé que si de telles antennes doivent être soumises à des prescriptions de planification restrictives, cela doit en principe être fait explicitement (arrêt du Tribunal fédéral 1C_229/2011 du 8 novembre 2011 consid. 2.4).</w:t>
      </w:r>
    </w:p>
    <w:p>
      <w:r>
        <w:rPr>
          <w:b/>
        </w:rPr>
        <w:t>E. 6.3</w:t>
      </w:r>
    </w:p>
    <w:p>
      <w:r>
        <w:t>En l'espèce, il convient de rejoindre les recourants lorsqu'ils soutiennent que certaines des antennes se trouvent au-delà de la ligne de façade. Les plans figurant au dossier l'attestent. Néanmoins, cela ne signifie pas encore que le préavis de la CA était nécessaire. En effet, la chambre de céans relève, en premier lieu, que l'art. 25 RCI ne mentionne pas les antennes de téléphonie mobile. Ainsi et en application de la jurisprudence précitée, les objets en question n'entrent pas dans le champ d'application de l'art. 25 RCI. De plus, à la lecture de l'art. 25 RCI, il apparaît que le préavis de la CA n’est nécessaire que lorsqu'il s'agit d'avant-corps de la façade. Or, de telles antennes ne sauraient être assimilées à de telles constructions,</w:t>
      </w:r>
    </w:p>
    <w:p>
      <w:r>
        <w:t>- 21/38 - A/226/2023 notamment par rapport à leur volume et leur implantation dans le bâtiment. Le préavis de la CA n'était donc pas nécessaire. Compte tenu de ces éléments, le grief sera écarté.</w:t>
      </w:r>
    </w:p>
    <w:p>
      <w:r>
        <w:rPr>
          <w:b/>
        </w:rPr>
        <w:t>E. 7</w:t>
      </w:r>
    </w:p>
    <w:p>
      <w:r>
        <w:t>Les recourants font grief au TAPI d’avoir constaté les faits de façon incomplète et inexacte.</w:t>
      </w:r>
    </w:p>
    <w:p>
      <w:r>
        <w:rPr>
          <w:b/>
        </w:rPr>
        <w:t>E. 7.1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7.2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ATA/444/2023 du 26 avril 2023 consid. 5.2).</w:t>
      </w:r>
    </w:p>
    <w:p>
      <w:r>
        <w:rPr>
          <w:b/>
        </w:rPr>
        <w:t>E. 7.3</w:t>
      </w:r>
    </w:p>
    <w:p>
      <w:r>
        <w:t>En l'espèce, les recourants se plaignent du fait que le TAPI n'aurait pas tenu compte de l'erreur de I______ contenue dans la fiche de données spécifique au site du 5 avril 2022 par rapport à l'enveloppe des bâtiments, du manque d'indication concernant les bâtiments abritant les LUS, que le département ne se serait pas déplacé pour vérifier la composition des enveloppes des bâtiments, que l'exactitude des diagrammes ne pouvait pas être vérifiée sans l'accès aux manuels et fiches techniques des antennes et que la déclaration d'exactitude des antennes exploitées par P______ avait été signée par un opérateur sans pouvoir de signature. Bien que les recourants se plaignent d'une constatation inexacte ou incomplète des faits pertinents, leur grief relève plutôt de l'appréciation juridique du TAPI par rapport au dossier soumis. En effet, toutes ces critiques portent sur les données contenues dans la fiche de données spécifique au site du 5 avril 2022 qui seraient erronées. Il s'agit là de l’appréciation des moyens de preuve offerts par les parties, qui sera examinée dans les considérants qui suivent. Mal fondé, le grief sera écarté.</w:t>
      </w:r>
    </w:p>
    <w:p>
      <w:r>
        <w:rPr>
          <w:b/>
        </w:rPr>
        <w:t>E. 8</w:t>
      </w:r>
    </w:p>
    <w:p>
      <w:r>
        <w:t>Les recourants estiment que l'enveloppe du bâtiment au LUS n° 9 a été surestimée, ce qui fausserait les données contenues dans la fiche de données spécifique au site du 5 avril 2022. Il en résulterait une violation du ch. 64 let. c annexe I ORNI.</w:t>
      </w:r>
    </w:p>
    <w:p>
      <w:r>
        <w:rPr>
          <w:b/>
        </w:rPr>
        <w:t>E. 8.1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w:t>
      </w:r>
    </w:p>
    <w:p>
      <w:r>
        <w:t>- 22/38 - A/226/2023 nuisibles ou incommodantes pour l'être humain et son environnement naturel (al. 2).</w:t>
      </w:r>
    </w:p>
    <w:p>
      <w:r>
        <w:rPr>
          <w:b/>
        </w:rPr>
        <w:t>E. 8.2</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8.3</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(ch. 15 annexe 1 ORNI). Par LUS, on entend, conformément à sa définition prévue à l’art. 3 al. 3 ORNI, les locaux situés à l’intérieur d’un bâtiment dans lesquels des personnes séjournent</w:t>
      </w:r>
    </w:p>
    <w:p>
      <w:r>
        <w:t>- 23/38 - A/226/2023 régulièrement durant une période prolongée (let. a), les places de jeux publiques ou privées, définies dans un plan d’aménagement (let. b) et les parties de terrains non bâtis sur lesquelles des activités au sens des let. a et b sont permises (let. c).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(ATA/622/2024 du 21 mai 2024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 6 octobre 2020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w:t>
      </w:r>
    </w:p>
    <w:p>
      <w:r>
        <w:t>- 24/38 - A/226/2023 courant de fuite ou courant de contact pour le mode d’exploitation de l’installation qui en produit le plus (al. 4).</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phr.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 le respect des valeurs prescrites doit être démontré par des mesures supplémentaires</w:t>
      </w:r>
    </w:p>
    <w:p>
      <w:r>
        <w:t>- 25/38 - A/226/2023 (arrêt du Tribunal fédéral 1C_681/2017 du 1er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phr. 2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 Par antennes émettrices adaptatives, on entend les antennes émettrices exploitées de sorte que leur direction d’émission ou leur diagramme d’antenne est adapté automatiquement selon une périodicité rapprochée (ch. 62 al. 6 annexe 1 ORNI).</w:t>
      </w:r>
    </w:p>
    <w:p>
      <w:r>
        <w:rPr>
          <w:b/>
        </w:rPr>
        <w:t>E. 8.11</w:t>
      </w:r>
    </w:p>
    <w:p>
      <w:r>
        <w:t>Le contrôle de la charge de rayonnement non ionisant produit par une installation s’effectue en trois étapes : 1) le calcul d’une prévision, 2) la mesure de</w:t>
      </w:r>
    </w:p>
    <w:p>
      <w:r>
        <w:t>- 26/38 - A/226/2023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(ibid,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(ibid., p. 24s). En général, le fabricant d’antennes fournit deux diagrammes d’antenne, l’un pour le plan horizontal et l’autre pour le plan vertical. Le diagramme d'antenne indique notamment l’atténuation directionnelle par rapport à la direction principale de propagation, généralement exprimée en dB. Les atténuations directionnelles verticale et horizontale concernant le lieu considéré se déduisent des deux diagrammes d’antenne. Pour le calcul du rayonnement non ionisant, on en fait la somme en unités de dB, celle-ci étant toutefois limitée à 15 dB au maximum, même si les diagrammes d’antennes suggèrent une atténuation plus importante. Le coefficient d’atténuation γ est calculé de la manière suivante à partir de l’atténuation directionnelle exprimée en dB : γn = 10dB /10.</w:t>
      </w:r>
    </w:p>
    <w:p>
      <w:r>
        <w:t>- 27/38 - A/226/2023 Atténuation directionnelle (en dB) Coefficient d’atténuation γn 0 1 3 2 6 4</w:t>
      </w:r>
    </w:p>
    <w:p>
      <w:r>
        <w:rPr>
          <w:b/>
        </w:rPr>
        <w:t>E. 8.12</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w:t>
      </w:r>
    </w:p>
    <w:p>
      <w:r>
        <w:rPr>
          <w:b/>
        </w:rPr>
        <w:t>E. 8.13</w:t>
      </w:r>
    </w:p>
    <w:p>
      <w:r>
        <w:t>Selon le ch. 64 annexe 1 ORNI, la valeur limite de l’installation pour la valeur efficace de l’intensité de champ électrique est de 4 V/m pour les installations es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w:t>
      </w:r>
    </w:p>
    <w:p>
      <w:r>
        <w:rPr>
          <w:b/>
        </w:rPr>
        <w:t>E. 8.14</w:t>
      </w:r>
    </w:p>
    <w:p>
      <w:r>
        <w:t>Par mode d’exploitation déterminant, on entend le mode d’exploitation dans lequel un maximum de conversations et de données est transféré, l’émetteur étant au maximum de sa puissance (ch. 63 al. 1 annexe 1 ORNI).</w:t>
      </w:r>
    </w:p>
    <w:p>
      <w:r>
        <w:rPr>
          <w:b/>
        </w:rPr>
        <w:t>E. 8.15</w:t>
      </w:r>
    </w:p>
    <w:p>
      <w:r>
        <w:t>Pour vérifier le respect de la VLInst au sens du ch. 65 annexe 1 ORNI, l’autorité doit également identifier l’installation concernée (ou groupe d’antennes) ainsi que son périmètre, notions définies au ch. 62 de cette annexe.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w:t>
      </w:r>
    </w:p>
    <w:p>
      <w:r>
        <w:rPr>
          <w:b/>
        </w:rPr>
        <w:t>E. 8.16</w:t>
      </w:r>
    </w:p>
    <w:p>
      <w:r>
        <w:t>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conformément au ch. 62 al. 5 annexe 1 ORNI, entre autres le remplacement d’antennes émettrices par d’autres ayant un diagramme d’antenne différent (let. b).</w:t>
      </w:r>
    </w:p>
    <w:p>
      <w:r>
        <w:rPr>
          <w:b/>
        </w:rPr>
        <w:t>E. 8.17</w:t>
      </w:r>
    </w:p>
    <w:p>
      <w:r>
        <w:t>Comme l’indique le Tribunal fédéral dans l’arrêt 1C_693/2021 précité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 3G, 4G ou 5G/New Radio) et s’appliquent indépendamment de celle-ci. Elles varient en fonction de la fréquence du</w:t>
      </w:r>
    </w:p>
    <w:p>
      <w:r>
        <w:t>- 30/38 - A/226/2023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retenir que les antennes adaptatives suivent la même procédure de contrôle que les antennes conventionnelles. Elles peuvent faire l’objet d’un calcul de prévision au stade de la demande d’autorisation. Ce calcul repose sur les données techniques mentionnées dans la fiche spécifique produite par l'opérateur dans sa demande d’autorisation, que le SABRA, en tant qu’autorité spécialisée du département, doit vérifier dans le cadre de l’instruction de ladite demande (ATA/11/2024 du 9 janvier 2024 consid. 5.5).</w:t>
      </w:r>
    </w:p>
    <w:p>
      <w:r>
        <w:rPr>
          <w:b/>
        </w:rPr>
        <w:t>E. 8.18</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(ATA/1060/2023 du 26 septembre 2023 consid. 5.2. et l'arrêt cité).</w:t>
      </w:r>
    </w:p>
    <w:p>
      <w:r>
        <w:rPr>
          <w:b/>
        </w:rPr>
        <w:t>E. 8.19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(ATA/70/2024 du 23 janvier 2024 consid. 4.2 et l'arrêt cité).</w:t>
      </w:r>
    </w:p>
    <w:p>
      <w:r>
        <w:rPr>
          <w:b/>
        </w:rPr>
        <w:t>E. 8.20</w:t>
      </w:r>
    </w:p>
    <w:p>
      <w:r>
        <w:t>Selon la jurisprudence constante du Tribunal fédéral, les expertises privées n’ont pas la même valeur qu’une expertise demandée par un tribunal. Les résultats</w:t>
      </w:r>
    </w:p>
    <w:p>
      <w:r>
        <w:t>- 31/38 - A/226/2023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8.21</w:t>
      </w:r>
    </w:p>
    <w:p>
      <w:r>
        <w:t>En l'espèce, le projet de construction porte sur la modification d'une installation pour téléphonie mobile existante composée de 24 antennes, réparties sur 12 mâts situées en façade du bâtiment sis ______, route Q______ à V______ à une hauteur d'environ 34 m au-dessus du sol. Parmi ces 24 antennes, 18 sont conventionnelles et six adaptatives (ch. 62 al. 6 Annexe 1 ORNI), comprenant chacune 16 sub arrays (ch. 63 al. 2 annexe 1 ORNI). Il s’agit d’un groupe d’antennes (ch. 62 al. 1 annexe 1 ORNI) qui doit être qualifié d’installation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 LUS n° 9, se trouvant à une hauteur de 9.97 m, est de 4.47 V/m. Il n'y a pas lieu de remettre en cause cette valeur,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du LUS n° 9 telles qu'elles ressortent de la fiche de données spécifiques au site. Par ailleurs, contrairement à ce que soutiennent les recourants, ce n'est pas « l'atténuation spéciale » mentionnée par erreur sous la rubrique « Enveloppe du bâtiment » qui a été prise en compte pour fixer l'amortissement par le bâtiment (15 dB) mais le fait qu'il n'y ait pas de vue directe des antennes présentes sur les façades nord-est et sud-est depuis le LUS n° 9. En effet, comme cela ressort notamment des photographies et des plans, les antennes qui se trouvent sur la façade nord-est du bâtiment sont, par rapport au LUS n° 9, du côté opposé du bâtiment, ce qui justifie un amortissement du bâtiment de 15 dB. Les antennes de la façade sud-est se situent au-dessus du plafond en béton. Compte tenu de la différence de hauteur entre le lieu</w:t>
      </w:r>
    </w:p>
    <w:p>
      <w:r>
        <w:t>- 32/38 - A/226/2023 de mesure LUS n° 9 (9.97 m) et les antennes (environ 34 m), il apparaît qu'il n'est pas possible de voir directement depuis ce LUS les antennes. C'est d'ailleurs ce qu'indique la fiche de données spécifique au site concernant le LUS en question « Pas de vue sect. 1-2 all ». Un amortissement par le bâtiment de 15 dB, correspondant au plafond en béton, a donc correctement été pris en compte pour ces antennes. Pour celles situées sur la façade sud-ouest, partiellement visibles depuis le LUS n° 9, aucun amortissement par le bâtiment n'a été appliqué, celles-ci étant partiellement visibles depuis le LUS n° 9. Le calcul prévisionnel de l'intensité du champ électrique pour le LUS n° 9 a donc été établi de manière conforme au droit. En outre, force est de constater que les diagrammes ont été reproduits de manière précise pour les 24 antennes concernées. Il n'existe pas d'éléments probants au dossier permettant de remettre en cause l'exactitude des diagrammes fournis. En outre, contrairement à ce que soutiennent les recourants, le fait que le diagramme soit fourni par l'opérateur n'empêche pas le « technicien de mesure » de vérifier les calculs figurant sur le diagramme. En effet, comme le SABRA l'a indiqué dans le cadre de la procédure A/2247/2022, il a les outils nécessaires pour calculer le champ électrique dans les LUS (ATA/622/2024 du 21 mai 2024 ch. D. fa en fait). Il n'est donc pas nécessaire de demander la production des manuels et fiches techniques par les fabricants d'antennes. De 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consid. 7.2.2). La fiche de données spécifique au site ainsi que les diagrammes étaient donc suffisants pour que le SABRA, puis le département, se déterminent sur le dossier soumis. La déclaration d'exactitude a de plus été valablement signée par l'entreprise requérante et responsable de l'installation selon la fiche de données spécifique, soit l'intimée en l'occurrence. Le fait que la déclaration d'exactitude de P______ aurait été signée par une personne ne disposant d'aucun pouvoir de signature n'a pas besoin d'être traité plus avant dans la mesure où les antennes de cet opérateur ne subissent aucune modification dans le cadre des travaux faisant l'objet de l'autorisation litigieuse comme cela ressort des commentaires de la fiche de données spécifique au site. La comparaison entre le LUS n° 9 et le LSM n° 10 faite par les recourants pour démontrer la mauvaise analyse du LUS n° 9 est malvenue. En effet, le LSM n° 10 est, selon la fiche de données spécifique au site, un point de passage se situant, selon les plans en extérieur. Il ressort d'ailleurs de la fiche complémentaire dudit LSM que les données « Enveloppe du bâtiment » et « Amortissement par le bâtiment [dB] » ne sont pas renseignées au contraire de la fiche complémentaire concernant</w:t>
      </w:r>
    </w:p>
    <w:p>
      <w:r>
        <w:t>- 33/38 - A/226/2023 le LUS n° 9. S'il est vrai que la fiche de données spécifique au site retient une intensité du champ électrique de 5.53 V/m, cela s'explique justement par une absence d'amortissement par un bâtiment, le LSM n° 10 étant plus exposé au rayonnement que le LUS n° 9 qui quant à lui bénéficie d'un amortissement en béton. La comparaison des résultats obtenus entre le LUS n° 9 et le LSM n° 10 est donc cohérente. Enfin, le SABRA a posé comme autres conditions l’intégration des antennes de cette installation dans son système d’assurance qualité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d’assurance qualité, y compris pour les antennes adaptatives (arrêts du Tribunal fédéral 1C_45/2023 du 16 janvier 2024 consid. 6.3 ; 1C_296/2022 du 7 juin 2023 consid. 2.7 ; 1C_693/2021 précité consid. 6.1 et 6.2). Le Tribunal fédéral a par ailleurs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 » (arrêt du Tribunal fédéral 1C_ 693/2021 du 3 mai 2023 consid. 4. 2 et les nombreuses références citées).</w:t>
      </w:r>
    </w:p>
    <w:p>
      <w:r>
        <w:t>- 34/38 - A/226/2023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(arrêt du Tribunal fédéral 1C_100/2021 du 14 février 2023 consid. 6.2.2 ; 1C_ 693/2021 précité consid. 4.3). De surcroît,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18 juin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Enfin, le récent arrêt du Tribunal fédéral (1C_506/2023 du 23 avril 2024 destiné à publication) impose une procédure d'autorisation de construire en cas d’application du facteur de correction KAA aux antennes adaptatives, évaluées précédemment selon le scénario du worst case. Compte tenu de ces éléments, le LUS n° 9 respecte la VLInst de l’art. 64 let. c annexe 1 ORNI. Le grief sera écarté. 9. Les recourants se plaignent d'une violation des principes de prévention et de précaution par rapport au choix de l'emplacement de l'installation. 9.1 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w:t>
      </w:r>
    </w:p>
    <w:p>
      <w:r>
        <w:t>- 35/38 - A/226/2023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En fixant les valeurs limites de l'installation, le Conseil fédéral a ménagé une marge de sécurité afin de prévenir les dangers avérés pour la santé (cf. ATF 128 II 378 consid. 6.2.2).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arrêts du Tribunal fédéral 1C_693/2021 précité consid. 5.1.1 ; 1C_518/2018 du 14 avril 2020 consid. 5.1.1 et les arrêts cités). 9.2 En 2014, l'OFEV a créé le groupe consultatif d'experts en matière de rayonnement non ionisant (ci-après :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Les évaluations de BERENIS sont publiées tous les trimestres sous forme de newsletter. Au niveau international, ce travail est effectué par l'Organisation mondiale de la santé (ci-après : OMS) et son agence spécialisée dans le cancer, le Centre international de recherche sur le cancer (ci-après : CIRC), et la Commission internationale de protection contre les rayonnements non ionisants (ci-après : ICNIRP). 9.3 Le groupe de travail « Téléphonie mobile et rayonnements »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 cellules seraient particulièrement sensibles (rapport précité sur la téléphonie mobile et les rayonnements du 18 novembre 2019, pp 58 ss, 66).</w:t>
      </w:r>
    </w:p>
    <w:p>
      <w:r>
        <w:t>- 36/38 - A/226/2023 9.4 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valeurs limites d'immissions,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valeurs limites de l'installation de l'ORNI pour les immissions des stations émettrices fixes. L'édition spéciale de la newsletter BERENIS de janvier 2021, produite par les recourants,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 9.5 L'ORNI a été complétée par une modification du 17 avril 2019, notamment par l'art. 19b ORNI. L'OFEV,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Études de mesures - ch. 6.2 -, Mesures et simulations réalisées par l'OFCOM - ch. 6.3). L'accent est mis sur la charge de rayonnement non ionisant due aux installations réglementées par l'ORNI (OFEV, Explications relatives à la modification de l'ORNI, Train d'ordonnances sur l'environnement, printemps 2019, 17 avril 2019, p. 7). Ce monitoring renforcera les bases scientifiques pour l'étude des effets sur la santé de la population et pourrait notamment être utile pour des études épidémiologiques (arrêt du Tribunal fédéral 1C_693/2021 précité consid. 5.2).</w:t>
      </w:r>
    </w:p>
    <w:p>
      <w:r>
        <w:t>- 37/38 - A/226/2023 En l'état des connaissances, la limitation préventive des émissions par l'application des valeurs limites actuelles respecte le principe de prévention (arrêts du Tribunal fédéral 1C_296/2022 précité consid. 2.3 ; 1C_693/2021 précité consid. 5.2 ; 1C_100/2021 précité consid. 5 et les nombreuses autres références aux études et articles récents sur ce sujet). 9.6 En l'espèce, les recourants souhaitent démontrer que les ondes électromagnétiques présentent un risque pour la santé. Or, il n’est pas contesté que le corps humain est sensible aux champs électromagnétiques, la question étant de savoir quelle intensité d'exposition peut être jugée acceptable. Toutefois, comme l'indique la newsletter BERENIS de janvier 2021, des études plus approfondies dans des conditions standardisées sont nécessaires pour mieux comprendre les effets sanitaires des rayonnements non ionisants de haute fréquence. Le monitoring mis en place par l'OFEV permettra également de renforcer les bases scientifiques pour l'étude des effets sur la santé de la population. Ainsi, en l'état des connaissances, rien ne permet de s'écarter des valeurs limites fixées par l'ORNI. Dans la mesure où les valeurs limites de l'ORNI sont respectées pour tous les LUS, la question du choix de l'emplacement le moins nuisible, à savoir nécessitant le rayonnement le moins élevé, et affectant le moins de LUS possible, n'avait donc pas à être examiné dans le cadre de l'instruction de la requête en autorisation de construire. Le grief doit être écarté. Entièrement mal fondé, le recours doit ainsi être rejeté. 10. Vu l’issue du litige, un émolument de CHF 1'000.- sera mis à la charge des recourants, pris solidairement (art. 87 al. 1 LPA). Une indemnité de procédure de CHF 1'000.- sera allouée à I______, à la charge solidaire des recourants (art. 87 al. 2 LPA), étant précisé que J______ ne s'est pas déterminée dans la procédure par- devant la chambre de céans.</w:t>
      </w:r>
    </w:p>
    <w:p>
      <w:r>
        <w:t>* * * * *</w:t>
      </w:r>
    </w:p>
    <w:p>
      <w:r>
        <w:rPr>
          <w:b/>
        </w:rPr>
        <w:t>E. 15</w:t>
      </w:r>
    </w:p>
    <w:p>
      <w:r>
        <w:t>32</w:t>
      </w:r>
    </w:p>
    <w:p>
      <w:r>
        <w:t>- 28/38 - A/226/2023 Briques 5</w:t>
      </w:r>
    </w:p>
    <w:p>
      <w:r>
        <w:rPr>
          <w:b/>
        </w:rPr>
        <w:t>E. 18</w:t>
      </w:r>
    </w:p>
    <w:p>
      <w:r>
        <w:t>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(ATA/434/2024 du 26 mars 2024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