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ATA/825/2024 vom 9. Juli 2024</w:t>
      </w:r>
    </w:p>
    <w:p>
      <w:r>
        <w:t>GE Cour de justice, 2024-07-09, FR</w:t>
      </w:r>
    </w:p>
    <w:p>
      <w:r>
        <w:rPr>
          <w:b/>
        </w:rPr>
        <w:t xml:space="preserve">Quelle: </w:t>
      </w:r>
      <w:r>
        <w:t>https://mcp.opencaselaw.ch/entscheid/ge_gerichte_ATA_825_2024</w:t>
      </w:r>
    </w:p>
    <w:p>
      <w:r>
        <w:t>FR: GE_GERICHTE ATA/825/2024 du 9 juillet 2024</w:t>
      </w:r>
    </w:p>
    <w:p>
      <w:r>
        <w:t>IT: GE_GERICHTE ATA/825/2024 del 9 luglio 2024</w:t>
      </w:r>
    </w:p>
    <w:p>
      <w:pPr>
        <w:pStyle w:val="Heading2"/>
      </w:pPr>
      <w:r>
        <w:t>Regeste</w:t>
      </w:r>
    </w:p>
    <w:p>
      <w:r>
        <w:t>Résumé: Confirmation du jugement du TAPI portant sur une autorisation d'installer un groupe de six antennes conventionnelles pour téléphonie mobile fixées sur un mât sur la superstructure d'un bâtiment. Respect du droit de l'environnement, en particulier en matière de rayonnement non ionisant. Confirmation des valeurs calculées (VLInst) en relation avec la valeur limite de l'installation.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149 LCI).</w:t>
      </w:r>
    </w:p>
    <w:p>
      <w:r>
        <w:rPr>
          <w:b/>
        </w:rPr>
        <w:t>E. 2</w:t>
      </w:r>
    </w:p>
    <w:p>
      <w:r>
        <w:t>La qualité pour recourir de la commune et des voisins a été examinée en détails par la juridiction inférieure et n'est pas contestée par les intimés.</w:t>
      </w:r>
    </w:p>
    <w:p>
      <w:r>
        <w:rPr>
          <w:b/>
        </w:rPr>
        <w:t>E. 3</w:t>
      </w:r>
    </w:p>
    <w:p>
      <w:r>
        <w:t>Les recourants sollicitent la suspension de la présente procédure jusqu'à droit connu dans le cadre de la cause A/2247/2022.</w:t>
      </w:r>
    </w:p>
    <w:p>
      <w:r>
        <w:t>- 14/30 - A/1201/2022</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(ATA/1493/2019 du 8 octobre 2019 consid. 3b et l'arrêt cité).</w:t>
      </w:r>
    </w:p>
    <w:p>
      <w:r>
        <w:rPr>
          <w:b/>
        </w:rPr>
        <w:t>E. 3.2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(ATA/812/2021 du 10 août 2021 consid. 2a ; ATA/1493/2019 précité consid. 3b).</w:t>
      </w:r>
    </w:p>
    <w:p>
      <w:r>
        <w:rPr>
          <w:b/>
        </w:rPr>
        <w:t>E. 3.3</w:t>
      </w:r>
    </w:p>
    <w:p>
      <w:r>
        <w:t>En l'espèce, la chambre de céans a rendu, dans la cause A/2247/2022, son arrêt le 21 mai 2024 rejetant le recours de la commune (ATA/622/2024). Même si un recours au Tribunal fédéral devait être déposé, force est de constater que l'autorisation de construire contestée concerne une antenne conventionnelle et non une antenne adaptative comme dans le cadre de la cause A/2247/2022. De plus, il apparaît que les griefs soulevés ne sont pas exactement identiques. Enfin, une suspension serait contraire au principe de célérité et d’économie de procédure. Il n’y a en conséquence pas lieu de prononcer la suspension de la présente procédure.</w:t>
      </w:r>
    </w:p>
    <w:p>
      <w:r>
        <w:rPr>
          <w:b/>
        </w:rPr>
        <w:t>E. 4</w:t>
      </w:r>
    </w:p>
    <w:p>
      <w:r>
        <w:t>Les recourants demandent que J______ démontre que la puissance émettrice de l'installation ne pourrait pas être augmentée à l'avenir et qu'elle respecterait ainsi les exigences en matière de contrôle à long terme du respect des valeurs limites. Ils sollicitent également la mise en œuvre d'un expertise judiciaire et l'audition de Y______ en tant que témoin, aux fins de vérifier l’exactitude des informations disponibles dans la fiche.</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w:t>
      </w:r>
    </w:p>
    <w:p>
      <w:r>
        <w:t>- 15/30 - A/1201/2022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4.2</w:t>
      </w:r>
    </w:p>
    <w:p>
      <w:r>
        <w:t>En l'espèce, dans le cadre de la procédure, les recourants ont produit une analyse de la « conformité ORNI/OFEV de la station de base » en question du 21 avril 2022, puis un « Avis d'expert sur les observations du 28 novembre 2022 de J______ » daté du 31 janvier 2023. Ces deux documents contiennent la prise de position de Y______ sur le dossier. Ces éléments s'ajoutent aux différents échanges d'écritures des parties devant le TAPI et la chambre administrative accompagné du dossier de l'autorité intimée et des différentes pièces produites, parmi lesquelles figurent des photographies du lieu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soit nécessaire d'entendre Y______, d'ordonner la production de nouvelles pièces ou encore une expertise. Enfin, sur la problématique de la démonstration par J______ du respect des exigences en matière de contrôle à long terme du respect des valeurs limites, force est de constater que l'objet du litige porte sur le bien-fondé de l’autorisation de construire délivrée par le département. Une telle conclusion étant exorbitante à celui-ci et portant sur des faits futurs, elle n’est pas recevable et devrait en tous les cas être rejetée conformément aux considérants qui suivent. Il ne sera par conséquent pas donné suite aux demandes d'instruction des recourants.</w:t>
      </w:r>
    </w:p>
    <w:p>
      <w:r>
        <w:rPr>
          <w:b/>
        </w:rPr>
        <w:t>E. 5</w:t>
      </w:r>
    </w:p>
    <w:p>
      <w:r>
        <w:t>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5.1</w:t>
      </w:r>
    </w:p>
    <w:p>
      <w:r>
        <w:t>En vertu de l'art. 61 al. 1 LPA, le recours peut être formé pour violation du droit y compris l'excès et l'abus du pouvoir d'appréciation (let. a), ou pour constatation</w:t>
      </w:r>
    </w:p>
    <w:p>
      <w:r>
        <w:t>- 16/30 - A/1201/2022 inexacte ou incomplète des faits pertinents (let. b) ; les juridictions administratives n'ont pas compétence pour apprécier l'opportunité de la décision attaquée, sauf exception prévue par la loi (al. 2), non réalisée en l'espèce.</w:t>
      </w:r>
    </w:p>
    <w:p>
      <w:r>
        <w:rPr>
          <w:b/>
        </w:rPr>
        <w:t>E. 5.2</w:t>
      </w:r>
    </w:p>
    <w:p>
      <w:r>
        <w:t>; Joel DRITTENBASS, Risk-Based Approach als Konkretisierungsvariante des umweltschutzrechtlichen Vorsorgeprinzips : Angewendet am neuen5G-Mobilfunkstandard, DEP 2021-2 p. 138).</w:t>
      </w:r>
    </w:p>
    <w:p>
      <w:r>
        <w:t>- 25/30 - A/1201/2022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 (ATF 133 II 64 consid. 5.2 ; 126 II 399 consid. 3 ; arrêt du Tribunal fédéral 1A_251/2002 du 24 octobre 2003 consid. 4).</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w:t>
      </w:r>
    </w:p>
    <w:p>
      <w:r>
        <w:rPr>
          <w:b/>
        </w:rPr>
        <w:t>E. 5.4</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w:t>
      </w:r>
    </w:p>
    <w:p>
      <w:r>
        <w:t>- 17/30 - A/1201/2022 mais leur force de persuasion (ATA/957/2020 du 29 septembre 2020 consid. 3d et les références citées).</w:t>
      </w:r>
    </w:p>
    <w:p>
      <w:r>
        <w:rPr>
          <w:b/>
        </w:rPr>
        <w:t>E. 5.5</w:t>
      </w:r>
    </w:p>
    <w:p>
      <w:r>
        <w:t>En l'espèce, comme examiné supra,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Or, c'est exactement ce qu'a retenu le TAPI dans son jugement pour écarter les demandes d'instruction sollicitées par les recourants. En outre, il ressort du considérant en question (consid. 20) que la juridiction inférieure a pris en considération l'expertise privée – laquelle ne constitue qu'un simple allégué d'une partie (ATF 141 IV 369 consid. 6.2 = JdT 2016 IV 160 et les références citées ; ATA/731/2022 du 12 juillet 2022 consid. 5) – dans le cadre de l'examen de la problématique, puisque le TAPI précise que « l'instance spécialisée a également répondu aux points soulevés par Y______ dans son analyse du 21 avril 2022 concernant les LUS nos 5,6 et 11 ». Par ailleurs et comme analysé ci-dessus, les mesures d'instruction requises n'apparaissent pas nécessaires compte tenu de l'ensemble des documents figurant au dossier. En toute hypothèse, pour les raisons développées ci-après et compte tenu du fait que le TAPI et la chambre administrative disposent du même pouvoir d’examen portant sur les faits et le droit, à l’exclusion de l’opportunité (art. 61 al. 1 et 2 LPA), une éventuelle violation peut être réparée par la chambre de céans. Le grief est mal fondé.</w:t>
      </w:r>
    </w:p>
    <w:p>
      <w:r>
        <w:rPr>
          <w:b/>
        </w:rPr>
        <w:t>E. 6</w:t>
      </w:r>
    </w:p>
    <w:p>
      <w:r>
        <w:t>Les recourants font grief au TAPI d’avoir constaté les faits de façon inexacte, et commis un déni de justice. Le TAPI n’aurait pas précisé que l'installation litigieuse concerne des antennes conventionnelles et non adaptatives. Il était également faux de retenir que le SABRA serait « parvenu aux mêmes résultats que l'Opérateur, avec les mêmes paramètres » au vu des conclusions auxquelles l'expert privé était parvenu.</w:t>
      </w:r>
    </w:p>
    <w:p>
      <w:r>
        <w:rPr>
          <w:b/>
        </w:rPr>
        <w:t>E. 6.1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6.2</w:t>
      </w:r>
    </w:p>
    <w:p>
      <w:r>
        <w:t>En l'occurrence, il est exact que le jugement attaqué ne mentionne pas que l'installation litigieuse concerne des antennes conventionnelles, ce qui ressort effectivement du préavis du SABRA établi le 2 février 2022. Toutefois, les recourants ne tirent aucune conséquence de l'absence de cette mention dans le jugement attaqué, se limitant à alléguer qu'une nouvelle autorisation de construire devrait être sollicitée si l'opérateur souhaite exploiter cette antenne en mode adaptatif.</w:t>
      </w:r>
    </w:p>
    <w:p>
      <w:r>
        <w:t>- 18/30 - A/1201/2022 De plus, le TAPI a indiqué sur quels faits il avait fondé sa décision. Ne pas retenir les allégations de l’expert privé comme des faits établis ne relève pas d’un mauvais établissement des faits mais de l’appréciation des moyens de preuve offerts par les parties, qui sera examinée dans les considérants qui suivent. Mal fondé, le grief sera écarté.</w:t>
      </w:r>
    </w:p>
    <w:p>
      <w:r>
        <w:rPr>
          <w:b/>
        </w:rPr>
        <w:t>E. 7</w:t>
      </w:r>
    </w:p>
    <w:p>
      <w:r>
        <w:t>Les recourants soutiennent que le TAPI ne pouvait pas retenir que l'Église évangélique A______ ne constituait pas un LUS sans aucun acte d'instruction. De plus, la fiche de données spécifique au site ne mentionnerait aucun balcon ou terrasse privative alors que la VLInst y serait sans doute dépassée sur plusieurs d'entre elles, notamment les LUS nos 4, 5, 9, 10 et 11.</w:t>
      </w:r>
    </w:p>
    <w:p>
      <w:r>
        <w:rPr>
          <w:b/>
        </w:rPr>
        <w:t>E. 7.1</w:t>
      </w:r>
    </w:p>
    <w:p>
      <w:r>
        <w:t>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 OFEV, LUS, dernière modification le 26 juin 2024, https://www.bafu.admin.ch/bafu/fr/home/themes/ electrosmog/info-specialistes/mesures-contre-l-electrosmog/lieux-a-utilisation- sensible--lus-html, consulté le 2 juillet 2023). Les églises, sous réserve qu'il ne s'agisse pas de poste de travail permanent à l'intérieur de bâtiments, les cages d'escaliers, les cabinets de débarras, caves, combles et autres pièces de service qui ne sont pas qualifiées pour un séjour à long terme de personne, les terrasses panoramiques, les balcons et les terrasses en attique ne sont pas considérés comme des LUS (ATF 128 II 378 ; OFEV, LUS, dernière modification le 26 juin 2024, https://www.bafu.admin.ch/bafu/fr/home/themes/ electrosmog/info-specialistes/mesures-contre-l-electrosmog/lieux-a-utilisation- sensible-lus--html, consulté le 2 juillet 2023).</w:t>
      </w:r>
    </w:p>
    <w:p>
      <w:r>
        <w:rPr>
          <w:b/>
        </w:rPr>
        <w:t>E. 7.2</w:t>
      </w:r>
    </w:p>
    <w:p>
      <w:r>
        <w:t>En l'espèce, la question de savoir si l'Église évangélique A______ constitue bien un LUS au sens de l'art. 3 al. 3 ORNI peut souffrir de rester indécise dans la mesure où celui-ci a été évalué selon la fiche de données spécifique au site. En effet, il s'agit du LUS n° 11 dont il apparaît que la VLInst serait respectée (4.99 V/m alors que la limite légale est de 5.0 V/m selon l'art. 64 let. c annexe I ORNI). Ce point sera discuté ci-dessous.</w:t>
      </w:r>
    </w:p>
    <w:p>
      <w:r>
        <w:t>- 19/30 - A/1201/2022 Le fait que l'ancien art. 3 aRPRNI – dont les recourants se prévalent – prévoyait expressément que les balcons et terrasses privatives constituaient des LUS ne leur est d'aucun secours, la protection contre les immissions des installations de téléphonie mobile étant réglée de manière exhaustive dans l'ORNI, qui définit la notion de LUS et en exclut les balcons et terrasses. Les griefs sont infondés.</w:t>
      </w:r>
    </w:p>
    <w:p>
      <w:r>
        <w:rPr>
          <w:b/>
        </w:rPr>
        <w:t>E. 8</w:t>
      </w:r>
    </w:p>
    <w:p>
      <w:r>
        <w:t>Les recourants se plaignent que la VLInst des LUS nos 5, 6 et 11 violerait les art. 3 al. 3 let. a et 11 al. 2 let. c ch. 2 ORNI, 63 et 64 let. c annexe I ORNI et 14 LCI.</w:t>
      </w:r>
    </w:p>
    <w:p>
      <w:r>
        <w:rPr>
          <w:b/>
        </w:rPr>
        <w:t>E. 8.1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t>- 20/30 - A/1201/2022</w:t>
      </w:r>
    </w:p>
    <w:p>
      <w:r>
        <w:rPr>
          <w:b/>
        </w:rPr>
        <w:t>E. 8.2</w:t>
      </w:r>
    </w:p>
    <w:p>
      <w:r>
        <w:t>L’ORNI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de l'ordonnance dans les LUS (ch. 15 annexe 1 ORNI).</w:t>
      </w:r>
    </w:p>
    <w:p>
      <w:r>
        <w:rPr>
          <w:b/>
        </w:rPr>
        <w:t>E. 8.3</w:t>
      </w:r>
    </w:p>
    <w:p>
      <w:r>
        <w:t>La notion de LUS a déjà été définie plus haut.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(ATA/622/2024 précité consid. 7.7.1)</w:t>
      </w:r>
    </w:p>
    <w:p>
      <w:r>
        <w:rPr>
          <w:b/>
        </w:rPr>
        <w:t>E. 8.4</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 Conseil fédéral a créé une marge de sécurité par rapport aux dangers avérés pour la santé (ATF 128 II 378 consid. 6.2.2 ; arrêt du Tribunal fédéral 1C_627/2019 du 6 octobre 2020 consid. 3.1).</w:t>
      </w:r>
    </w:p>
    <w:p>
      <w:r>
        <w:rPr>
          <w:b/>
        </w:rPr>
        <w:t>E. 8.5</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w:t>
      </w:r>
    </w:p>
    <w:p>
      <w:r>
        <w:t>- 21/30 - A/1201/2022 de champ électrique, intensité de champ magnétique, densité de flux magnétique, courant de fuite ou courant de contact pour le mode d’exploitation de l’installation qui en produit le plus (al. 4).</w:t>
      </w:r>
    </w:p>
    <w:p>
      <w:r>
        <w:rPr>
          <w:b/>
        </w:rPr>
        <w:t>E. 8.6</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8.7</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1ère phr.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8.8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ch. 2.1.8 ; arrêt du Tribunal fédéral 1A.148/2002 du 12 août 2003 consid. 4.3.1 s.). Si, sur la base de ces mesures, il apparaît que la valeur limite de l'installation est dépassée lors du fonctionnement, la puissance d'émission maximale admissible doit être redéfinie et</w:t>
      </w:r>
    </w:p>
    <w:p>
      <w:r>
        <w:t>- 22/30 - A/1201/2022 le respect des valeurs prescrites doit être démontré par des mesures supplémentaires (arrêt du Tribunal fédéral 1C_681/2017 du 1er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8.9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8.10</w:t>
      </w:r>
    </w:p>
    <w:p>
      <w:r>
        <w:t>La Confédération surveille l’application de la LPE (art. 38 al. 1 LPE). Elle coordonne les mesures d’exécution des cantons ainsi que celles de ses propres établissements et exploitations (art. 38 al. 2 LPE). Conformément aux art. 38 al. 3 LPE et 12 al. 2 2e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 bafu.admin.ch/bafu/fr/home/themes/electrosmog/info-specialistes/mesures-contre- l-electrosmog/telephonie-mobile--aides-a-lexecution-de-l-orni.html.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w:t>
      </w:r>
    </w:p>
    <w:p>
      <w:r>
        <w:rPr>
          <w:b/>
        </w:rPr>
        <w:t>E. 8.11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w:t>
      </w:r>
    </w:p>
    <w:p>
      <w:r>
        <w:t>- 23/30 - A/1201/2022 limite calculée de l’installation n’est pas dépassée. Les données techniques nécessaires et le résultat du calcul sont communiqués à l’autorité par la fiche de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w:t>
      </w:r>
    </w:p>
    <w:p>
      <w:r>
        <w:rPr>
          <w:b/>
        </w:rPr>
        <w:t>E. 8.12</w:t>
      </w:r>
    </w:p>
    <w:p>
      <w:r>
        <w:t>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 Différentes notions techniques sont définies dans cette directive fédérale. Il en va ainsi par exemple du mode d’exploitation déterminant ou de la direction (horizontale et verticale) d’émission des antennes pouvant impliquer l’autorisation d’un domaine angulaire pour chacune des deux directions (ibid., p. 18). Les caractéristiques émettrices des antennes sont décrites par le diagramme d’antenne qui fournit des renseignements quantitatifs sur l’effet directionnel d’une antenne (intensité du rayonnement en fonction de l’angle par rapport à la direction principale de propagation), étant précisé qu’il existe généralement un diagramme pour le plan horizontal et un autre pour le plan vertical (ibid., p. 24). La direction principale de propagation (azimut) se définit par rapport au nord et représente un angle croissant dans le sens des aiguilles d’une montre : 0° pour le N, 90° pour E, 180° pour S et 270° pour O ; on indique un angle clairement défini (en °) ou un domaine angulaire (de …° à …° ; ibid., p. 34). L’intensité de champ électrique (en V/m) dû à l’antenne n, (En), au lieu de séjour considéré, est calculée suivant une formule précisée dans la recommandation (ibid., p. 25 et 40). Cette formule intègre les paramètres suivants : la distance directe entre le lieu considéré et l’antenne n (en m), la puissance émettrice requise pour l’antenne n (ERPn, en W), l’atténuation directionnelle (coefficient d’atténuation) et l’amortissement par les bâtiments (coefficient d’amortissement). Ensuite, on calcule l’intensité de champ électrique due à l’installation en un lieu donné</w:t>
      </w:r>
    </w:p>
    <w:p>
      <w:r>
        <w:t>- 24/30 - A/1201/2022 (Einstallation), en additionnant les contributions individuelles selon une autre formule indiquée dans la recommandation (ibid., p. 25 ss et p. 40).</w:t>
      </w:r>
    </w:p>
    <w:p>
      <w:r>
        <w:rPr>
          <w:b/>
        </w:rPr>
        <w:t>E. 8.13</w:t>
      </w:r>
    </w:p>
    <w:p>
      <w:r>
        <w:t>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(ibid, p. 9). La Recommandation OFEFP 2002 contient les instructions sur la manière de remplir la fiche de données spécifique au site.</w:t>
      </w:r>
    </w:p>
    <w:p>
      <w:r>
        <w:rPr>
          <w:b/>
        </w:rPr>
        <w:t>E. 8.14</w:t>
      </w:r>
    </w:p>
    <w:p>
      <w:r>
        <w:t>L’annexe 1 de l’ORNI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(ch. 65 annexe 1 ORNI). Cela suppose d’identifier trois éléments : la VLInst, les LUS définis plus haut et le mode d’exploitation déterminant.</w:t>
      </w:r>
    </w:p>
    <w:p>
      <w:r>
        <w:rPr>
          <w:b/>
        </w:rPr>
        <w:t>E. 8.15</w:t>
      </w:r>
    </w:p>
    <w:p>
      <w:r>
        <w:t>Selon le ch. 64 annexe 1 ORNI, la valeur limite de l’installation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(ATA/434/2024 du 26 mars 2024 consid.</w:t>
      </w:r>
    </w:p>
    <w:p>
      <w:r>
        <w:rPr>
          <w:b/>
        </w:rPr>
        <w:t>E. 8.16</w:t>
      </w:r>
    </w:p>
    <w:p>
      <w:r>
        <w:t>Par mode d’exploitation déterminant, on entend le mode d’exploitation dans lequel un maximum de conversations et de données est transféré, l’émetteur étant au maximum de sa puissance (ch. 63 al. 1 annexe 1 ORNI).</w:t>
      </w:r>
    </w:p>
    <w:p>
      <w:r>
        <w:rPr>
          <w:b/>
        </w:rPr>
        <w:t>E. 8.17</w:t>
      </w:r>
    </w:p>
    <w:p>
      <w:r>
        <w:t>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(ATA/1060/2023 du 26 septembre 2023 consid. 5.2. et l'arrêt cité).</w:t>
      </w:r>
    </w:p>
    <w:p>
      <w:r>
        <w:rPr>
          <w:b/>
        </w:rPr>
        <w:t>E. 8.18</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(ATA/70/2024 du 23 janvier 2024 consid. 4.2 et l'arrêt cité).</w:t>
      </w:r>
    </w:p>
    <w:p>
      <w:r>
        <w:rPr>
          <w:b/>
        </w:rPr>
        <w:t>E. 8.19</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w:t>
      </w:r>
    </w:p>
    <w:p>
      <w:r>
        <w:t>- 26/30 - A/1201/2022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8.20</w:t>
      </w:r>
    </w:p>
    <w:p>
      <w:r>
        <w:t>En l'espèce, le projet de construction porte sur l'installation d'un groupe de six antennes fixées sur un mât sur la superstructure du bâtiment sis à N______, ______, rue M______. Il s’agit d’un groupe d’antennes (ch. 62 al. 1 annexe 1 ORNI) conventionnelles qui doit être qualifié d’installation nouvelle au sens de l’art. 3 al. 2 let. c ORNI. Il n'est pas contesté que le groupe d'antennes est soumis à une émission maximale de 5 V/m (art. 64 let. c annexe I ORNI), comme le prévoit du reste la fiche de données spécifique au site fournie dans le cadre de l'autorisation querellée. Il ressort de cette fiche que l'intensité de champ électrique dans le LUS n° 5, se trouvant dans la mansarde au ______, rue S______, est de 4.47 V/m. Il s'agit de l'emplacement le plus exposé toujours selon ladite fiche. Il n'y a pas lieu de remettre en cause cette valeur,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ne sont d'ailleurs pas contestés par les recourants, en tant qu'ils sont basés sur les coordonnées géographiques du LUS n° 5 telles qu'elles ressortent de la fiche de données spécifiques au site. Les intéressés, dans leurs écritures, se limitent en effet à soutenir que l'intensité de champ électrique du LUS n° 5 serait de 5.29 V/m sans plus de précisions hormis le fait que la VLInst y serait « sans doute dépassée (…) dans la mesure où ces lieux comportent effectivement des balcons/terrasses privatives ». Outre le fait que comme retenu ci-dessus les balcons et terrasses privatives ne constituent pas des LUS au sens de l'ORNI, l'expert privé se limite, quant à lui, à soutenir aboutir à une prévision de 5.29 V/m au lieu de 4.77 V/m à cause « d'une atténuation trop élevée » selon son point de vue. Or, rien dans le dossier ne vient appuyer son analyse. Il n'a d'ailleurs pas détaillé son calcul ni expliqué en quoi l'atténuation directionnelle horizontale (dB) – pour autant que ce soit à cela qu'il ait fait référence – serait trop élevée. Le calcul prévisionnel de l'intensité du champ électrique pour le LUS n° 5 a donc été établi de manière conforme au droit. Pour le LUS n° 6, les recourants arrivent à un calcul prévisionnel de l'intensité du champ électrique de 5.28 V/m voire 5.49 V/m au lieu de 4.98 V/m. L'expert privé considère que le point de mesure utilisé par l'opérateur n'est pas le lieu où le</w:t>
      </w:r>
    </w:p>
    <w:p>
      <w:r>
        <w:t>- 27/30 - A/1201/2022 rayonnement est le plus fort. Selon ladite fiche, le LUS n° 6 est la mansarde au ______, rue S______. Il est exact que, selon le plan fourni, le repère du LUS n° 6 se trouve dans le coin de la maison opposé du site de l'antenne. Toutefois, la fiche en question indique bien qu'il s'agit de l'emplacement le plus exposé. Le département a également expliqué, dans ses écritures du 30 septembre 2022, que le repère utilisé par l'expert privé était dénué de fenêtre, ce qui ressort effectivement de la figure 7A reproduite dans son analyse. Or, selon la Recommandation OFEFP 2002, lorsque le lieu de séjour concerné se situe à l’intérieur d’un bâtiment et les antennes à l’extérieur, le rayonnement est plus ou moins amorti selon la nature du matériau qui constitue l’enveloppe du bâtiment (ibid, p. 25). Il n'apparaît donc pas que l'expert privé ait pris en considération cet amortissement, qui peut aller jusqu'à 15 (dB) suivant le matériau utilisé pour le bâtiment dans ses calculs, qu'il ne détaille d'ailleurs pas. Dans ces circonstances et compte tenu de ces éléments, le LUS n° 6 respecte la VLInst de l’art. 64 let. c annexe 1 ORNI. Enfin, s'agissant du LUS n° 11, les recourants soutiennent que le calcul prévisionnel de l'intensité du champ électrique serait de 5.33 V/m, voire 5.55 V/m, au lieu de 4.99 V/m. Dans son analyse, l'expert privé a repris les données figurant dans la fiche, à savoir une distance horizontale de 44.4 m et un azimut du LUS de 357o par rapport à l'antenne. Il ressort toutefois des écritures du département du 30 septembre 2022 que le SABRA a vérifié les calculs de l'opérateur pour ce LUS, obtenant avec les mêmes paramètres, les mêmes résultats que ceux figurant dans la fiche de données spécifique au site. Compte tenu de ce contrôle, effectué par le SABRA, autorité spécialisée en la matière réputée capable d'émettre un avis dépourvu de subjectivité et de considérations étrangères aux buts de protection de la loi ainsi que de la certaine retenue que la chambre de céans s’impose lorsque, comme en l’espèce, les normes juridiques font appel appel à des connaissances spécialisées ou particulières en matière de protection de l'environnement, le calcul effectué par l'opérateur – validé par l'instance spécialisée – doit être confirmé. Dans ce contexte et au vu de ces éléments, les conclusions du préavis du SABRA quant au respect des VLI et de la VLInst ne sont pas critiquables et permettent de procéder au calcul de la prévision conformément aux directives précitées de l’OFEV. Elles doivent ainsi être confirmées. En particulier, c’est à raison que le SABRA a estimé que la VLInst était respectée, tout en soulignant que les valeurs calculées pour les LUS nos 4, 5, 6, 8, 9, 10 et 11 dépassaient le 80% de la VLInst qui est in casu de 5 V/m, c’est-à-dire qu’elles étaient supérieures à 4 V/m (80% de 5 V/m). C’est donc à bon droit que, suivant la Recommandation OFEFP 2002, le SABRA a enjoint à l’opérateur d’effectuer, lors de la réception, des mesurages à ses frais, condition reprise dans la décision litigieuse. Celle-ci intègre, à raison, également la condition posée par le SABRA, selon laquelle les parties de la superstructure accessible pour l’entretien où la VLI est épuisée, doivent être dûment protégées.</w:t>
      </w:r>
    </w:p>
    <w:p>
      <w:r>
        <w:t>- 28/30 - A/1201/2022 Au surplus,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du 14 avril 2020 consid. 7.2.2). Par ailleurs, dans son préavis, le SABRA a posé comme autres conditions l’intégration des antennes de cette installation dans le système d’assurance qualité qui permet de surveiller les données d’exploitation. Ce faisant, l’autorité intimée a posé une cautèle permettant d’assurer le respect des valeurs limites. Dans des arrêts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18 juin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Par conséquent, en confirmant l’autorisation querellée sur la base du préavis du SABRA faute d’éléments contraires, le TAPI n’a pas violé l’ORNI. Les griefs tirés de la violation des 1 LPE, art. 3 al. 3 let. a et 11 al. 2 let. c ch. 2 ORNI, 63 et 64 let. c annexe I ORNI et 14 LCI doivent donc être écartés. Entièrement mal fondé, le recours doit ainsi être rejeté.</w:t>
      </w:r>
    </w:p>
    <w:p>
      <w:r>
        <w:rPr>
          <w:b/>
        </w:rPr>
        <w:t>E. 9</w:t>
      </w:r>
    </w:p>
    <w:p>
      <w:r>
        <w:t>Vu l’issue du litige, un émolument de CHF 1'000.- sera mis à la charge des recourants, pris solidairement (art. 87 al. 1 LPA). Une indemnité de procédure de CHF 1'000.- sera allouée à J______, à la charge solidaire des recourants (art. 87 al. 2 LPA), étant précisé que K______ SÀRL ne s'est pas déterminée dans la procédure par-devant la chambre de céans.</w:t>
      </w:r>
    </w:p>
    <w:p>
      <w:r>
        <w:t>- 29/30 - A/1201/2022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