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ATA/825/2016 vom 4. Oktober 2016</w:t>
      </w:r>
    </w:p>
    <w:p>
      <w:r>
        <w:t>GE Cour de justice, 2016-10-04, FR</w:t>
      </w:r>
    </w:p>
    <w:p>
      <w:r>
        <w:rPr>
          <w:b/>
        </w:rPr>
        <w:t xml:space="preserve">Quelle: </w:t>
      </w:r>
      <w:r>
        <w:t>https://mcp.opencaselaw.ch/entscheid/ge_gerichte_ATA_825_2016</w:t>
      </w:r>
    </w:p>
    <w:p>
      <w:r>
        <w:t>FR: GE_GERICHTE ATA/825/2016 du 4 octobre 2016</w:t>
      </w:r>
    </w:p>
    <w:p>
      <w:r>
        <w:t>IT: GE_GERICHTE ATA/825/2016 del 4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ayant indiqué le 20 juin 2016 avoir démissionné de la fonction d’exploitant de l’établissement public pour lequel il avait été autorisé à exploiter par décision du 16 février 2015, il convient préalablement d’examiner s’il a la qualité pour recourir.</w:t>
      </w:r>
    </w:p>
    <w:p>
      <w:r>
        <w:t>a. Aux termes de l'art. 60 al. 1 LPA, ont qualité pour recourir les parties à la procédure ayant abouti à la décision attaquée (let. a), ainsi que toute personne qui est touchée directement par une décision et a un intérêt personnel digne de</w:t>
      </w:r>
    </w:p>
    <w:p>
      <w:r>
        <w:t>- 4/6 - A/4361/2015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(ATA/623/2016 du 19 juillet 2016 consid. 4 ; ATA/602/2016 du 12 juillet 2016 consid. 1b).</w:t>
      </w:r>
    </w:p>
    <w:p>
      <w:r>
        <w:t>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ATA/684/2016 du 16 août 2016 consid. 2b).</w:t>
      </w:r>
    </w:p>
    <w:p>
      <w:r>
        <w:t>c.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w:t>
      </w:r>
    </w:p>
    <w:p>
      <w:r>
        <w:t>La condition de l’intérêt actuel fait défaut en particulier lorsque, par exemple, la décision ou la loi est révoquée ou annulée en cours d’instance (ATF 111 Ib 182 consid. 2 ; 110 Ia 140 consid. 2 ; 104 Ia 487 consid. 2 ; ATA/124/2005 du 8 mars 2005 consid. 1c), la décision attaquée a été exécutée et a sorti tous ses effets (ATF 125 I 394 consid. 4 ; 120 Ia 165 consid. 1a et les références citées),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 Pierre MOOR/Étienne POLTIER, Droit administratif, vol. 2, 3ème éd., 2011, p. 748 n. 5.7.2.3).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Cela étant, l’obligation d’entrer en matière sur un recours, dans certaines circonstances, nonobstant l’absence d’un intérêt actuel, ne saurait avoir pour effet de créer une voie de recours non prévue par le droit cantonal (ATF 135 I 79</w:t>
      </w:r>
    </w:p>
    <w:p>
      <w:r>
        <w:t>- 5/6 - A/4361/2015 consid. 1 ; 131 II 361 consid. 1.2 ; 128 II 34 consid. 1b ; arrêt du Tribunal fédéral 1C_133/2009 du 4 juin 2009 consid. 3).</w:t>
      </w:r>
    </w:p>
    <w:p>
      <w:r>
        <w:t>e. En l’espèce, l’autorisation d’exploiter du 16 février 2016 précisait qu’elle était strictement personnelle et intransmissible et qu’une nouvelle autorisation devait être sollicitée en cas de changement, notamment d’exploitant. Dans la mesure où le recourant a indiqué au Scom le 20 juin 2016 démissionner, donc de renoncer à sa fonction d’exploitant de l’établissement public à l’enseigne « B______», il ne peut plus, vu cette décision, se prévaloir d’un intérêt actuel à recourir contre la décision du Scom du 13 novembre 2015 qui a justement pour objet de constater la caducité de son autorisation parce qu’il n’est plus exploitant.</w:t>
      </w:r>
    </w:p>
    <w:p>
      <w:r>
        <w:rPr>
          <w:b/>
        </w:rPr>
        <w:t>E. 3</w:t>
      </w:r>
    </w:p>
    <w:p>
      <w:r>
        <w:t>Ces circonstances relevées à ce stade de la procédure rendent le recours irrecevable par perte de la qualité pour recourir.</w:t>
      </w:r>
    </w:p>
    <w:p>
      <w:r>
        <w:rPr>
          <w:b/>
        </w:rPr>
        <w:t>E. 4</w:t>
      </w:r>
    </w:p>
    <w:p>
      <w:r>
        <w:t>Vu l’issue du recours, un émolument de CHF 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