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ATA/824/2015 vom 11. August 2015</w:t>
      </w:r>
    </w:p>
    <w:p>
      <w:r>
        <w:t>GE Cour de justice, 2015-08-11, FR</w:t>
      </w:r>
    </w:p>
    <w:p>
      <w:r>
        <w:rPr>
          <w:b/>
        </w:rPr>
        <w:t xml:space="preserve">Quelle: </w:t>
      </w:r>
      <w:r>
        <w:t>https://mcp.opencaselaw.ch/entscheid/ge_gerichte_ATA_824_2015</w:t>
      </w:r>
    </w:p>
    <w:p>
      <w:r>
        <w:t>FR: GE_GERICHTE ATA/824/2015 du 11 août 2015</w:t>
      </w:r>
    </w:p>
    <w:p>
      <w:r>
        <w:t>IT: GE_GERICHTE ATA/824/2015 del 11 agosto 2015</w:t>
      </w:r>
    </w:p>
    <w:p>
      <w:pPr>
        <w:pStyle w:val="Heading2"/>
      </w:pPr>
      <w:r>
        <w:t>Regeste</w:t>
      </w:r>
    </w:p>
    <w:p>
      <w:r>
        <w:t>Résumé: Ordre de remise à l'état d'origine d'une villa dans laquelle est exploité un salon de prostitution. Rappel des conditions de validité d'un ordre de mise en conformité. L'exploitation d'un salon de prostitution dans une villa sise en cinquième zone de construction constitue un changement d'affectation soumis à autorisation. Rappel de la jurisprudence relative au perturbateur par situation et par comportement. La passivité du DSE, autorité incompétente en matière d'autorisation de construire, ne peut être assimilée à une autorisation tacite en vertu du principe de la bonne foi. Proportionnalité dans le cadre particulier d'un ordre de démolition. Conditions de l'octroi de dérogations en zone à bâtir. Ordre de remise à l'état d'origine et amende confirmés. Recours rejeté.</w:t>
      </w:r>
    </w:p>
    <w:p>
      <w:pPr>
        <w:pStyle w:val="Heading2"/>
      </w:pPr>
      <w:r>
        <w:t>Erwägungen</w:t>
      </w:r>
    </w:p>
    <w:p>
      <w:r>
        <w:rPr>
          <w:b/>
        </w:rPr>
        <w:t>E. 26</w:t>
      </w:r>
    </w:p>
    <w:p>
      <w:r>
        <w:t>mars 2013 consid. 2b ; ATA/281/2012 du 8 mai 2012 consid. 8 et les références citées). c. Selon la jurisprudence du Tribunal fédéral, un intérêt digne de protection suppose un intérêt actuel à obtenir l’annulation de la décision attaquée (ATF 138 II 42 consid. 1 p. 44 ; 137 I 23 consid 1.3 p. 24 s ; 135 I 79 consid. 1 p. 82 ; arrêts du Tribunal fédéral 2C_892/2011 du 17 mars 2012 consid. 1.2 ; 2C_811/2011 du 5 janvier 2012 consid. 1 ; Pierre MOOR/Étienne POLTIER, Droit administratif, vol. 2, 3ème éd., 2011, p. 748 n. 5.7.2.3 ; Thierry TANQUEREL, Manuel de droit administratif, 2011, p. 449 n. 1367).</w:t>
      </w:r>
    </w:p>
    <w:p>
      <w:r>
        <w:t>La condition de l’intérêt actuel fait défaut en particulier lorsque, par exemple, la décision ou la loi est révoquée ou annulée en cours d’instance (ATF 111 Ib 182 consid. 2 p. 185 ; 110 Ia 140 consid. 2 p. 141 s ; 104 Ia 487 consid. 2 p. 488 ; ATA/124/2005 du 8 mars 2005 consid. 1c), la décision attaquée a été exécutée et a sorti tous ses effets (ATF 125 I 394 consid. 4 p. 396 ss ; 120 Ia 165 consid. 1a p. 166 et les références citées ; ATA/65/2015 précité consid. 3a ; ATA/193/2013 précité consid. 3 ; ATA/727/2012 du 30 octobre 2012 consid. 3), le recourant a payé sans émettre aucune réserve la somme d’argent fixée par la décision litigieuse (ATF 106 Ia 151 consid. 1b p. 153 ; 99 V 78 consid. b p. 80 s) ou encore, en cas de recours concernant une décision personnalissime, lorsque le décès du recourant survient pendant l’instance (ATF 113 Ia 351 consid. 1 p. 352 ; Pierre MOOR/Étienne POLTIER, op. cit., p. 748 n. 5.7.2.3).</w:t>
      </w:r>
    </w:p>
    <w:p>
      <w:r>
        <w:t>d. En l’espèce, le recours est dirigé contre le jugement du TAPI confirmant la décision du DALE du 30 avril 2014 ordonnant la remise de la villa à l’état</w:t>
      </w:r>
    </w:p>
    <w:p>
      <w:r>
        <w:t>- 12/27 - A/1606/2014 d’origine dans un délai de quarante-cinq jours et infligeant une amende administrative de CHF 3'000.-.</w:t>
      </w:r>
    </w:p>
    <w:p>
      <w:r>
        <w:t>Le TAPI ayant admis l’intérêt digne de protection et donc la qualité pour recourir des deux intéressées contre la décision litigieuse, ces dernière ont un intérêt particulier, direct et spécial à contester son jugement devant la chambre administrative. Par ailleurs, l’intérêt des recourantes à remettre en cause l’ordre de remise en état demeure actuel malgré l’échéance du contrat de bail en mars 2015, le site internet de la société indiquant que l’exploitation du salon se poursuit à ce jour à la même adresse, la prolongation de bail annoncée par les recourantes lors de leur comparution personnelle devant le TAPI ayant ainsi vraisemblablement effectivement eu lieu.</w:t>
      </w:r>
    </w:p>
    <w:p>
      <w:r>
        <w:t>Les intéressées ont par conséquent la qualité pour recourir devant la chambre administrative contre le jugement attaqué. Leur recours sera déclaré recevable. 3)</w:t>
      </w:r>
    </w:p>
    <w:p>
      <w:r>
        <w:t>Le litige porte sur la conformité au droit du jugement du TAPI confirmant la décision du DALE ordonnant la remise de la villa à l’état d’origine dans un délai de quarante-cinq jours et infligeant à la société une amende administrative de CHF 3'000.-. 4)</w:t>
      </w:r>
    </w:p>
    <w:p>
      <w:r>
        <w:t>À titre préalable, il convient d’examiner si le TAPI a à juste titre admis la qualité des recourantes pour recourir devant lui contre la décision du</w:t>
      </w:r>
    </w:p>
    <w:p>
      <w:r>
        <w:rPr>
          <w:b/>
        </w:rPr>
        <w:t>E. 30</w:t>
      </w:r>
    </w:p>
    <w:p>
      <w:r>
        <w:t>avril 2014.</w:t>
      </w:r>
    </w:p>
    <w:p>
      <w:r>
        <w:t>a. Pour avoir la qualité pour recourir,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 Il faut donc que l’admission du recours procure au recourant un avantage pratique et non seulement théorique, soit que cette admission soit propre à lui procurer un avantage de nature économique, matérielle ou idéale (ATF 134 II 120 consid. 2 p. 122 ; arrêts du Tribunal fédéral 1C_152/2012 précité consid. 2.1 ; 8C_696/2011 du 2 mai 2012 consid. 5.1 ; ATA/65/2015 précité consid. 2c ; ATA/365/2009 du 28 juillet 2009 consid. 3b ; ATA/207/2009 du 28 avril 2009 consid. 3a). Un intérêt seulement indirect à l’annulation ou à la modification de la décision attaquée n’est pas suffisant (ATF 138 V 292 consid. 4 p. 296 ; arrêt du Tribunal fédéral 1C_665/2013 du 24 mars 2014 consid. 3.1).</w:t>
      </w:r>
    </w:p>
    <w:p>
      <w:r>
        <w:t>b. Le TAPI a admis l’intérêt digne de protection tant de la société que de Mme B______.</w:t>
      </w:r>
    </w:p>
    <w:p>
      <w:r>
        <w:t>- 13/27 - A/1606/2014</w:t>
      </w:r>
    </w:p>
    <w:p>
      <w:r>
        <w:t>En tant que destinataire de la décision attaquée et société exploitant le salon, A______ est manifestement touchée personnellement, directement et spécialement tant par l’ordre de remise à l’état d’origine que par l’amende administrative, de sorte que le TAPI lui a à juste titre reconnu la qualité pour recourir devant lui.</w:t>
      </w:r>
    </w:p>
    <w:p>
      <w:r>
        <w:t>En ce qui concerne Mme B______, gérante de la société, elle est également touchée de manière personnelle, directe et spéciale par l’ordre de remise en état, en tant que responsable du salon annoncée auprès de la BMOE et titulaire du bail de la villa, qu’elle a signé afin d’y établir un salon de prostitution. Elle avait dès lors la qualité pour recourir à l’encontre de l’ordre de remise en état devant le TAPI.</w:t>
      </w:r>
    </w:p>
    <w:p>
      <w:r>
        <w:t>Quant à l’amende, si l’autorité intimée a libellé le bulletin de versement au nom de Mme B______, elle a, à teneur de la décision attaquée, pris cette décision à l’égard de A______ uniquement. Mme B______ n’avait dès lors pas d’intérêt digne de protection à recourir devant le TAPI contre la décision litigieuse en relation avec l’amende de CHF 3'000.-. Son recours devant le TAPI était par conséquent à cet égard irrecevable.</w:t>
      </w:r>
    </w:p>
    <w:p>
      <w:r>
        <w:t>Au vu de ce qui précède, il sera constaté que l’amende de CHF 3'000.- infligée par le DALE le 30 avril 2014 n’a été prononcée qu’à l’encontre de A______. Le jugement du TAPI sera confirmé en tant qu’il déclare recevable le recours de la société ainsi que le recours de Mme B______ en relation avec l’ordre de remise à l’état d’origine. Il sera annulé en tant qu’il déclare recevable le recours de Mme B______ concernant l’amende, lequel sera déclaré irrecevable. 5)</w:t>
      </w:r>
    </w:p>
    <w:p>
      <w:r>
        <w:t>Les recourantes soutiennent que l’ordre de remise à l’état d’origine violerait leur liberté économique.</w:t>
      </w:r>
    </w:p>
    <w:p>
      <w:r>
        <w:t>a. Invocable tant par les personnes physiques que morales, la liberté économique (art. 27 de la Constitution fédérale de la Confédération suisse - Cst. - RS 101) protège toute activité économique privée, exercée à titre professionnel et tendant à la production d'un gain ou d'un revenu (ATF 135 I 130 consid. 4.2 p. 135). La protection de l’art. 27 Cst. s’étend non seulement aux indépendants, mais encore aux employés salariés lorsqu’ils sont atteints dans leurs droits juridiquement protégés (ATF 112 Ia 318 consid. 2a p. 319). Les personnes exerçant la prostitution ainsi que l'exploitation d'établissements permettant son exercice peuvent s'en prévaloir (ATF 137 I 167 consid. 3.1 p. 172). Une restriction de cette liberté est toutefois admissible aux conditions de l'art. 36 Cst.</w:t>
      </w:r>
    </w:p>
    <w:p>
      <w:r>
        <w:t>b. En l’espèce, l’autorité intimée a ordonné la remise à l’état d’origine de la villa, de sorte que les recourantes ne pourront plus y exploiter de salon de prostitution.</w:t>
      </w:r>
    </w:p>
    <w:p>
      <w:r>
        <w:t>- 14/27 - A/1606/2014</w:t>
      </w:r>
    </w:p>
    <w:p>
      <w:r>
        <w:t>Cette décision constitue par conséquent une ingérence dans la liberté économique des intéressées, laquelle doit, pour être admissible, reposer sur une base légale, répondre à un intérêt public et respecter le principe de la proportionnalité. 6) a. Lorsque l’état d’une construction, d’une installation ou d’une autre chose n’est pas conforme aux prescriptions de la loi sur les constructions et les installations diverses du 14 avril 1988 (LCI - L 5 05), des règlements qu’elle prévoit ou des autorisations délivrées en application de ces dispositions légales ou réglementaires, le DALE peut notamment ordonner, à l’égard des constructions, des installations ou d’autres choses, la remise en état, la réparation, la modification, la suppression ou la démolition (art. 129 let. e et 130 LCI).</w:t>
      </w:r>
    </w:p>
    <w:p>
      <w:r>
        <w:t>Les propriétaires ou leurs mandataires, les entrepreneurs et les usagers sont tenus de se conformer aux mesures ordonnées par le DALE en application des art. 129 et 130 LCI (art. 131 LCI). Le DALE notifie aux intéressés, par lettre recommandée, les mesures qu’il ordonne. Il fixe un délai pour leur exécution, à moins qu’il n’invoque l’urgence (art. 132 al. 1 LCI).</w:t>
      </w:r>
    </w:p>
    <w:p>
      <w:r>
        <w:t>b. De jurisprudence constante, pour être valable, un ordre de mise en conformité doit respecter cinq conditions (ATF 111 Ib 213 consid. 6 p. 221 ; ATA/569/2015 précité consid. 24b ; ATA/700/2014 précité consid. 3b ; ATA/488/2011 du 27 juillet 2011 consid. 5b ; ATA/85/2011 du 8 février 2011 consid. 6 ; ATA/625/2009 du 1er décembre 2009 consid. 10). Premièrement, l'ordre doit être dirigé contre le perturbateur (ATF 114 Ib 44 consid. 2a p. 47 s. = JdT 1990 I 482 consid. 2a p. 484 s. ; ATF 107 Ia 19 consid. 2a p. 23 = JdT 1983 I 290 consid. 2a p. 293). Les installations en cause ne doivent ensuite pas avoir été autorisées en vertu du droit en vigueur au moment de leur réalisation (ATF 104 Ib 301 consid. 5c p. 304 ; ATA/569/2015 précité consid. 24b ; ATA/700/2014 précité consid. 3b ; ATA/83/2009 précité consid. 5). Un délai de plus de trente ans ne doit par ailleurs pas s'être écoulé depuis l'exécution des travaux litigieux (ATF 107 Ia 121 consid. 1 p. 124 = JdT 1983 I 299). L'autorité ne doit en outre pas avoir créé chez l'administré concerné, par des promesses, des informations, des assurances ou un comportement, des conditions telles qu'elle serait liée par la bonne foi (ATF 117 Ia 285 consid 2b p. 287 ; ATA/569/2015 du 2 juin 2015 consid. 24b ; ATA/700/2014 du 2 septembre 2014 consid. 3b ; ATA/83/2009 du 17 février 2009 consid. 5 ; Blaise KNAPP, Précis de droit administratif, 4ème éd., 1991, n. 509 p. 108). Finalement, l'intérêt public au rétablissement d'une situation conforme au droit doit l'emporter sur l'intérêt privé de l'intéressé au maintien des installations litigieuses (ATA/569/2015 précité consid. 24b ; ATA/700/2014 précité consid. 3b ; ATA/152/2010 du 9 mars 2010 consid. 5e ; ATA/887/2004 du 16 novembre 2004 consid. 4e). 7)</w:t>
      </w:r>
    </w:p>
    <w:p>
      <w:r>
        <w:t>Les recourantes affirment premièrement qu’elles pourraient se prévaloir de l’autorisation délivrée en 1954, de sorte qu’elles n’auraient pas violé les</w:t>
      </w:r>
    </w:p>
    <w:p>
      <w:r>
        <w:t>- 15/27 - A/1606/2014 prescriptions en matière de constructions. Elles invoquent également l’existence d’un salon de prostitution dans la villa dans les années 2000 déjà.</w:t>
      </w:r>
    </w:p>
    <w:p>
      <w:r>
        <w:t>a. Aucune construction ou installation ne peut être créée ou transformée sans autorisation de l'autorité compétente (art. 22 al. 1 de la loi fédérale sur l’aménagement du territoire du 22 juin 1979 - LAT - RS 700).</w:t>
      </w:r>
    </w:p>
    <w:p>
      <w:r>
        <w:t>b. Sur tout le territoire genevois, nul ne peut, sans y avoir été autorisé, modifier même partiellement le volume, l’architecture, la couleur, l’implantation, la distribution ou la destination d’une construction ou d’une installation (art. 1 al. 1 let. b LCI).</w:t>
      </w:r>
    </w:p>
    <w:p>
      <w:r>
        <w:t>La cinquième zone de construction est une zone résidentielle destinée aux villas. Des exploitations agricoles peuvent également y trouver place. L’utilisation d’une partie de sa villa par le propriétaire, l’ayant-droit ou le locataire aux fins d’y exercer des activités professionnelles est possible à certaines conditions (art. 19 al. 3 de la loi d'application de la loi fédérale sur l'aménagement du territoire du 4 juin 1987 - LaLAT - L 1 30).</w:t>
      </w:r>
    </w:p>
    <w:p>
      <w:r>
        <w:t>c. Selon le Tribunal fédéral, l’exercice régulier de la prostitution dans des studios d’habitation entre clairement en contradiction avec cette dernière notion, de sorte que cela frise la témérité d’argumenter qu’il ne s’agirait pas d’un changement d’affectation soumis à autorisation. Il est indifférent, de ce point de vue, que les hôtesses vivent également sur place (arrêt du Tribunal fédéral 1C_237/2012 du 31 août 2012 consid. 2 et les références citées).</w:t>
      </w:r>
    </w:p>
    <w:p>
      <w:r>
        <w:t>d. En l’espèce, les recourantes exploitent, sans y vivre, un salon de prostitution dans la villa, sise en cinquième zone de construction, zone résidentielle affectée à l’habitation. Ce faisant, elles ont changé la destination de la villa, sans solliciter d’autorisation à cet effet, violant leur obligation légale en ce sens.</w:t>
      </w:r>
    </w:p>
    <w:p>
      <w:r>
        <w:t>À cet égard, l’autorisation de 1954 ne leur est d’aucun secours. Certes, cette autorisation porte sur une salle de rythmique, indiquant vraisemblablement - sans toutefois l’établir - l’exercice d’une activité professionnelle dans la villa par le propriétaire, ayant-droit ou locataire de l’époque. L’activité des recourantes, soit l’exploitation des lieux à des fins de prostitution, en outre sans y habiter, ne peut cependant en aucun cas être rapprochée à l’utilisation d’une salle de rythmique par le propriétaire, l’ayant-droit ou le locataire, de sorte qu’il s’agirait là en tout état de cause tout de même d’un changement d’affectation soumis à autorisation.</w:t>
      </w:r>
    </w:p>
    <w:p>
      <w:r>
        <w:t>Les recourantes se prévalent également du fait qu’un salon érotique aurait déjà été exploité dans la villa depuis 2006. Elles n’invoquent cependant pas qu’une autorisation à cet effet aurait alors été accordée, ce qui ne ressort au surplus pas du dossier.</w:t>
      </w:r>
    </w:p>
    <w:p>
      <w:r>
        <w:t>- 16/27 - A/1606/2014</w:t>
      </w:r>
    </w:p>
    <w:p>
      <w:r>
        <w:t>L’affectation de la villa à l’exploitation d’un salon érotique, soumise à autorisation, n’a par conséquent jamais été autorisée. Les griefs des recourantes à cet égard seront dès lors écartés. 8)</w:t>
      </w:r>
    </w:p>
    <w:p>
      <w:r>
        <w:t>Les recourantes affirment ensuite qu’elles ne pourraient être qualifiées de perturbatrices et que l’ordre de remise à l’état d’origine aurait dû être dirigé contre le propriétaire de la villa.</w:t>
      </w:r>
    </w:p>
    <w:p>
      <w:r>
        <w:t>a. Les mesures nécessaires à éliminer une situation contraire au droit doivent être dirigées contre le perturbateur.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p. 226 s. ; 136 I 1 consid. 4.4.3 p. 11 ; 122 II 65 consid. 6a p. 70 ; ATA/83/2014 du 12 février 2014 consid. 9 ; ATA/152/2010 précité consid. 7 ; ATA/179/2006 du 28 mars 2006 consid. 4 ; ATA/195/2005 du 5 avril 2005 consid. 11).</w:t>
      </w:r>
    </w:p>
    <w:p>
      <w:r>
        <w:t>b. Le perturbateur par situation correspond avant tout au propriétaire, mais il peut également s'agir notamment du locataire, le critère déterminant étant le pouvoir de disposition, qui permet à celui qui le détient de maintenir la chose dans un état conforme à la réglementation en vigueur (ATF 114 Ib 44 consid. 2c/aa p. 50 = JdT 1990 I 482 consid. 2c/a p. 485 s.)</w:t>
      </w:r>
    </w:p>
    <w:p>
      <w:r>
        <w:t>c. Selon la jurisprudence, la responsabilité en raison du comportement et celle qui découle de la situation peuvent coexister et l'obligation d'éliminer la perturbation peut être imposée alternativement ou cumulativement à tout perturbateur, aussi bien de comportement que de situation. L'autorité compétente doit jouir d'une certaine marge d'appréciation dans le choix de la personne à laquelle incombera l'obligation d'éliminer la perturbation (ATF 107 Ia 19 consid. 2b p. 24 = JdT 1983 I 290 consid. 2b p. 295). Dans l’examen du choix du perturbateur, le Tribunal fédéral a relevé que si la perturbation ou le danger devaient être éliminés aussi rapidement que possible afin d'éviter de trop grands dommages - cas de pollution des eaux, de danger d'effondrement d'une maison -, le choix se porterait sur le perturbateur le plus proche du foyer du danger et techniquement apte à éliminer personnellement le danger. Si en revanche le rétablissement de l'état primitif n’était pas spécialement urgent et que de toute façon l'état contraire au droit avait déjà duré un temps relativement long - par exemple décharge non autorisée et qui ne met pas en danger l'eau souterraine -, on pouvait adopter pour l'élimination une autre réglementation, si possible plus affinée, qui ne se déterminerait pas - ou pas exclusivement - en fonction de la nécessité d'une action rapide et efficace. Par ailleurs, les perturbateurs par comportement devaient si possible entrer en considération avant les perturbateurs</w:t>
      </w:r>
    </w:p>
    <w:p>
      <w:r>
        <w:t>- 17/27 - A/1606/2014 par situation (ATF 107 Ia 19 consid. 2b p. 25 = JdT 1983 I 290 consid. 2b p. 295 s. et les références citées).</w:t>
      </w:r>
    </w:p>
    <w:p>
      <w:r>
        <w:t>d. En l’espèce, les recourantes soutiennent, en s’appuyant sur la jurisprudence susmentionnée, qu’en l’absence de situation d’urgence, l’ordre de remise à l’état d’origine n’aurait pas dû être dirigé à leur encontre mais contre la propriétaire de la villa, s’agissant de la seule personne dotée de la maîtrise juridique et du droit de disposer de l’immeuble en cause. Elles-mêmes ne seraient que locataires, le bail autorisant l’usage commercial des locaux loués et prévoyant qu’il revenait au propriétaire de requérir les autorisations nécessaires, et elles ne pourraient être qualifiées de perturbatrices.</w:t>
      </w:r>
    </w:p>
    <w:p>
      <w:r>
        <w:t>Toutefois, la société, unique destinataire de la décision de remise à l’état d’origine, utilise la villa pour y exploiter un salon de prostitution. Elle est de ce fait indéniablement perturbatrice par comportement, de sorte que l’autorité intimée pouvait lui faire injonction de rétablir une situation conforme au droit.</w:t>
      </w:r>
    </w:p>
    <w:p>
      <w:r>
        <w:t>Par ailleurs, si la propriétaire - qui cède l’usage de sa villa à Mme B______ pour son affectation à l’exploitation d’un salon de prostitution - répond à la définition de perturbatrice par situation, il n’en demeure pas moins que la société, en tant qu’exploitante du salon, est la personne la plus à même de faire cesser l’activité litigieuse. L’autorité intimée n’a dès lors pas abusé de son pouvoir d’appréciation en dirigeant l’ordre de remise à l’état d’origine contre la société plutôt qu’à l’encontre de la propriétaire.</w:t>
      </w:r>
    </w:p>
    <w:p>
      <w:r>
        <w:t>Le grief des recourantes sera par conséquent écarté. 9)</w:t>
      </w:r>
    </w:p>
    <w:p>
      <w:r>
        <w:t>Les recourantes invoquent une violation du principe de la bonne foi.</w:t>
      </w:r>
    </w:p>
    <w:p>
      <w:r>
        <w:t>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ATA/700/2014 précité consid. 4a ; ATA/141/2012 du 13 mars 2012 consid. 4 ; Thierry TANQUEREL, op. cit., p. 193 n. 568).</w:t>
      </w:r>
    </w:p>
    <w:p>
      <w:r>
        <w:t>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w:t>
      </w:r>
    </w:p>
    <w:p>
      <w:r>
        <w:t>- 18/27 - A/1606/2014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w:t>
      </w:r>
    </w:p>
    <w:p>
      <w:r>
        <w:t>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(ATA/700/2014 précité consid. 4c ; ATA/811/2012 du 27 novembre 2012 consid. 2a ; ATA/398/2012 du 26 juin 2012 consid. 8 ; Pierre MOOR/Alexandre FLÜCKIGER/Vincent MARTENET, Droit administratif, Vol. 1, 3ème éd., 2012, p. 922 ss n. 6.4.1.2 et 6.4.2.1 ; Thierry TANQUEREL, op. cit., p. 196 s n. 578 s ; Ulrich HÄFELIN/Georg MÜLLER/Félix UHLMANN, Allgemeines Verwaltungsrecht, 6ème éd., 2010, p. 140 ss et p. 157 n. 696 ; Andreas AUER/Giorgio MALINVERNI/Michel HOTTELIER, Droit constitutionnel suisse, vol. 2, 3ème éd., 2013, n. 1'173 ss).</w:t>
      </w:r>
    </w:p>
    <w:p>
      <w:r>
        <w:t>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(ATA/700/2014 précité consid. 4c ; ATA/529/1999 du 7 septembre 1999 consid. 5a).</w:t>
      </w:r>
    </w:p>
    <w:p>
      <w:r>
        <w:t>d. Les demandes d’autorisation sont adressées au DALE (art. 2 al. 1 LCI).</w:t>
      </w:r>
    </w:p>
    <w:p>
      <w:r>
        <w:t>- 19/27 - A/1606/2014</w:t>
      </w:r>
    </w:p>
    <w:p>
      <w:r>
        <w:t>e. En l’espèce, les recourantes n’allèguent pas qu’une promesse, des assurances ou des informations concrètes quant à la légalité de l’exploitation du salon leur auraient été données par les autorités. Il convient à cet égard de constater que les clauses du contrat de bail avec le propriétaire de la villa relèvent du droit privé et ne lient pas le DALE et que, comme l’a relevé le TAPI, les éléments figurant sur le site internet de l’État de Genève sont des informations générales, non destinées à des personnes déterminées et fournies en dehors de toute situation concrète.</w:t>
      </w:r>
    </w:p>
    <w:p>
      <w:r>
        <w:t>Les recourantes invoquent ainsi finalement simplement la passivité du DSE - soit l’absence d’indication quant à la nécessité d’une autorisation de construire -, malgré les annonces de Mme B______ en tant que responsable du salon et des prostituées travaillant dans la villa ainsi que les visites régulières de la BMOE. Or, non seulement le DSE n’est pas l’autorité compétente en matière d’autorisation de construire - ce que les recourantes ne pouvaient ignorer -, mais sa passivité ne peut en outre en aucun cas être assimilée à une autorisation tacite ou à une renonciation à faire respecter les dispositions légales en matière de constructions. Il n’a en effet pas sciemment toléré la situation, comme le confirme le fait que, dès connaissance de la nécessité d’une autorisation de construire pour l’exploitation d’un salon érotique en cinquième zone de construction, il a dénoncé la situation à l’autorité compétente, le DALE.</w:t>
      </w:r>
    </w:p>
    <w:p>
      <w:r>
        <w:t>Les recourantes ne peuvent en conséquence pas se prévaloir du principe de la bonne foi pour remettre en cause l’ordre de remise à l’état d’origine. Leur grief sera écarté. 10) Les recourantes reprochent à l’autorité intimée d’avoir violé le principe de la proportionnalité.</w:t>
      </w:r>
    </w:p>
    <w:p>
      <w:r>
        <w:t>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précité consid. 24c ; ATA/700/2014 précité consid. 5a ; ATA/735/2013 du 5 novembre 2013 consid. 11).</w:t>
      </w:r>
    </w:p>
    <w:p>
      <w:r>
        <w:t>- 20/27 - A/1606/2014</w:t>
      </w:r>
    </w:p>
    <w:p>
      <w:r>
        <w:t>b.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ATA/569/2015 précité consid. 24d ; ATA/700/2014 précité consid. 5b ; ATA/488/2011 précité consid. 5c ; ATA/537/2010 du 4 août 2010 consid. 6).</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ATA/569/2015 précité consid. 24d ; ATA/700/2014 précité consid. 5b ; ATA/488/2011 précité consid. 5c). 11) a. L'autorisation est délivrée si la construction ou l'installation est conforme à l'affectation de la zone (let. a) et le terrain est équipé (let. b ; art. 22 al. 2 LAT). Le droit fédéral et le droit cantonal peuvent poser d'autres conditions (art. 22 al. 3 LAT). Le droit cantonal règle les exceptions prévues à l'intérieur de la zone à bâtir (art. 23 LAT).</w:t>
      </w:r>
    </w:p>
    <w:p>
      <w:r>
        <w:t>b. La conformité à l’affectation de la zone implique que la fonction de la construction ou installation concorde avec celle de la zone. Il ne suffit pas qu’elle ne soit pas contraire à la destination de la zone (DFJP/OFAT, Étude relative à la LAT, 1981, p. 274 n. 29). L’utilisation de la construction ou de l'installation est pertinente pour juger de la conformité à l’affectation de la zone, en particulier si elle est connue au moment de l’octroi de l’autorisation (ATA/1019/2014 du 16 décembre 2014 consid. 5a ; ATA/784/2013 du 26 novembre 2013 consid. 6 ; ATA/70/2013 du 6 février 2013 consid. 3). 12) a. Le propriétaire, l’ayant droit ou le locataire d’une villa en cinquième zone peut, à condition que celle-ci constitue sa résidence principale, utiliser une partie de cette villa aux fins d’y exercer des activités professionnelles, pour autant qu’elles n’entraînent pas de nuisances graves pour le voisinage (art. 19 al. 3 LaLAT).</w:t>
      </w:r>
    </w:p>
    <w:p>
      <w:r>
        <w:t>Lorsque les circonstances le justifient et s’il n’en résulte pas d’inconvénients graves pour le voisinage, le département peut déroger aux dispositions des art. 18 et 19 LaLAT quant à la nature des constructions (art. 26 al. 1 1ère phrase LaLAT).</w:t>
      </w:r>
    </w:p>
    <w:p>
      <w:r>
        <w:t>- 21/27 - A/1606/2014</w:t>
      </w:r>
    </w:p>
    <w:p>
      <w:r>
        <w:t>b.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(ATA/1019/2014 précité consid. 8b ; ATA/537/2013 du 27 août 2013 consid. 6b ; ATA/147/2011 du 8 mars 2011 consid. 5 et la référence citée).</w:t>
      </w:r>
    </w:p>
    <w:p>
      <w:r>
        <w:t>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(ATA/1019/2014 précité consid. 8c ; ATA/537/2013 précité consid. 6b ; ATA/117/2011 du 15 février 2011 consid. 7b. et les références citées).</w:t>
      </w:r>
    </w:p>
    <w:p>
      <w:r>
        <w:t>Ainsi, cette disposition accorde au département un large pouvoir d’appréciation que le juge ne peut revoir qu’en cas d’excès ou d’abus, ou de constatation inexacte ou incomplète des faits pertinents (art. 61 al. 1 et 2 LPA). Le principe de proportionnalité prend une place majeure et impose une pesée des intérêts militant pour et contre la mesure en cause (ATA/1019/2014 précité consid. 8c ; ATA/784/2013 précité consid. 7d ; ATA/117/2011 précité consid. 7c ; ATA/51/2006 du 31 janvier 2006 consid. 6b ; Thierry TANQUEREL, La pesée des intérêts vue par le juge administratif, in La pesée globale des intérêts, Droit de l'environnement et de l'aménagement du territoire, 1996, p. 189 ss, notamment p. 192 s.).</w:t>
      </w:r>
    </w:p>
    <w:p>
      <w:r>
        <w:t>c. 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(ATA/1019/2014 précité consid. 8d ; ATA/784/2013 précité consid. 8e ; ATA/117/2011 précité consid. 7d ; ATA/595/2007 du 20 novembre 2007 consid. 4e).</w:t>
      </w:r>
    </w:p>
    <w:p>
      <w:r>
        <w:t>Selon la jurisprudence, il convient d'adopter une interprétation restrictive de l'art. 26 al. 1 LaLAT, en tout cas lorsque l'on entend l’appliquer à la cinquième zone. En effet, la condition de l'absence d'inconvénients graves pour le voisinage est identique à celle qui est posée pour la tolérance d'activités professionnelles</w:t>
      </w:r>
    </w:p>
    <w:p>
      <w:r>
        <w:t>- 22/27 - A/1606/2014 dans une partie d'une habitation (art. 19 al. 3 2ème phrase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(ATA/537/2013 précité consid. 6c ; ATA/389/1998 du 23 juin 1998 consid. 6).</w:t>
      </w:r>
    </w:p>
    <w:p>
      <w:r>
        <w:t>Les circonstances visées à l'art. 26 al. 1 LaLAT doivent être à la fois particulières, en ce sens que la situation considérée doit être réellement exceptionnelle dans le cadre de la zone, et suffisamment importante pour justifier que l'intérêt public au respect de l'affectation de la zone, consacré par le législateur, cède le pas face à un intérêt public ou privé prépondérant (ATA/537/2013 précité consid. 6c ; ATA/255/1997 du 22 avril 1997 consid. 6b). 13) a. En l’espèce, les recourantes affirment que l’affectation qualifiée de mixte de la villa, sise en cinquième zone de construction, serait autorisable, les hôtesses y vivant en dehors de leurs heures de travail. Elles ne contestent toutefois pas que la villa ne constitue pas leur propre résidence principale dans laquelle elles exerceraient leurs activités professionnelles, Mme B______ étant domiciliée en Thurgovie. Les conditions de l’art. 19 al. 3 LaLAT ne sont par conséquent pas remplies et l’affectation de la villa à l’exploitation d’un salon érotique n’est pas autorisable sur cette base.</w:t>
      </w:r>
    </w:p>
    <w:p>
      <w:r>
        <w:t>Il convient dès lors d’examiner si le changement de destination de la villa serait autorisable par dérogation.</w:t>
      </w:r>
    </w:p>
    <w:p>
      <w:r>
        <w:t>L’autorité intimée a retenu qu’une telle dérogation ne pourrait être accordée, vu les inconvénients graves pour le voisinage, prouvés par la plainte du 10 mars 2014, et du fait de l’absence d’intérêt privé ou public l’emportant sur l’intérêt public au respect de l’affectation de la zone.</w:t>
      </w:r>
    </w:p>
    <w:p>
      <w:r>
        <w:t>Les recourantes contestent toutefois le contenu de la plainte et le fait que le salon ne soit la source de dérangements graves pour le voisinage, vu les bars se trouvant à proximité et sa situation en bordure d’une zone affectée aux activités commerciales. Cependant, s’il est certes vrai que l’autorité intimée n’a pas pu confirmer les nuisances lors de son inspection des lieux, il n’en demeure pas moins que l’autorité intimée n’a pas abusé de son pouvoir d’appréciation en retenant que l’affectation de la villa n’était pas autorisable par dérogation. En effet, même à retenir l’absence de nuisances graves pour le voisinage dans une zone résidentielle - ce qui est demeurant apparaît peu probable, vu la taille de la villa, de dix pièces, indiquant une activité d’une certaine ampleur se distinguant par ailleurs de celle des éventuels bars avoisinant -, les recourantes n’allèguent que leur intérêt économique comme circonstance justifiant la dérogation à l’affectation de la zone. Un tel intérêt ne peut cependant pas être qualifié de circonstance exceptionnelle et importante et n’est à lui seul aucunement de nature</w:t>
      </w:r>
    </w:p>
    <w:p>
      <w:r>
        <w:t>- 23/27 - A/1606/2014 à justifier une telle dérogation, dont l’admission reviendrait à vider de son sens la définition de la cinquième zone de construction voulue par le législateur.</w:t>
      </w:r>
    </w:p>
    <w:p>
      <w:r>
        <w:t>En conséquence, en l’absence d’intérêt public ou privé l’emportant sur l’intérêt public au respect de l’affectation de la zone, l’autorité intimée n’a pas abusé de son pouvoir d’appréciation en retenant que le changement de destination de la villa, non autorisé, n’était pas autorisable. Les recourantes devaient donc s’attendre à ce que l’autorité intimée se préoccupe de rétablir une situation conforme au droit.</w:t>
      </w:r>
    </w:p>
    <w:p>
      <w:r>
        <w:t>Au vu de ce qui précède, l’ordre de remise en état est, dans son principe, conforme au principe de la proportionnalité.</w:t>
      </w:r>
    </w:p>
    <w:p>
      <w:r>
        <w:t>b. Les recourantes affirment toutefois que le délai de quarante-cinq jours imparti pour opérer la remise à l’état d’origine serait trop court et de nature à mettre en péril la survie économique de la société. Toutefois, étant donné le caractère non autorisé et non autorisable de l’affectation de la villa, les recourantes devaient s’attendre à ce qu’il leur soit ordonné de rétablir une situation conforme au droit à plus ou moins brève échéance. Elles ont du reste, par le contrat de bail lui-même, accepté qu’il soit mis fin de manière immédiate au bail, et donc à l’exploitation du salon dans la villa, en cas de refus d’une autorisation nécessaire. Par ailleurs, contrairement à ce qu’elles soutiennent, l’ordre de remise à l’état d’origine ne les prive pas purement et simplement de leur source de revenu. En effet, la société exploite six autres salons érotiques à Genève - ou en tout cas quatre si deux autres de ces salons devaient effectivement fermer -, tient un club à son siège et propose un service d’« escort girls », ses hôtesses travaillant également sur déplacement.</w:t>
      </w:r>
    </w:p>
    <w:p>
      <w:r>
        <w:t>L’autorité intimée n’a par conséquent pas abusé de son pouvoir d’appréciation en fixant un délai de quarante-cinq jours à la société pour se conformer à l’ordre de remise en état.</w:t>
      </w:r>
    </w:p>
    <w:p>
      <w:r>
        <w:t>Au vu de ce qui précède, en ordonnant à la société de procéder à la remise à l’état d’origine dans un délai de quarante-cinq jours, l’autorité intimée n’a pas violé le principe de la proportionnalité ni la liberté économique des recourantes. Le grief sera écarté. 14) L’autorité intimée a également infligé une amende à la société.</w:t>
      </w:r>
    </w:p>
    <w:p>
      <w:r>
        <w:t>a.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w:t>
      </w:r>
    </w:p>
    <w:p>
      <w:r>
        <w:t>- 24/27 - A/1606/2014 CHF 20'000.- (art. 137 al. 2 LCI). Il est tenu compte, dans la fixation du montant de l'amende, du degré de gravité de l'infraction (art. 137 al. 3 LCI).</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(ATA/569/2015 précité consid. 27b ; ATA/147/2014 du 11 mars 2014 consid. 9c ; ATA/74/2013 du 6 février 2013 consid. 6b et les arrêts cités).</w:t>
      </w:r>
    </w:p>
    <w:p>
      <w:r>
        <w:t>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(ATA/569/2015 précité consid. 27c ; ATA/147/2014 précité consid. 9d ; ATA/61/2014 du 4 février 2014 consid. 6b ; ATA/71/2012 du 31 janvier 2012 consid. 6b).</w:t>
      </w:r>
    </w:p>
    <w:p>
      <w:r>
        <w:t>Il est ainsi nécessaire que le contrevenant ait commis une faute, fût-ce sous la forme d’une simple négligence (Ulrich HÄFELIN/Georg MÜLLER/Félix UHLMANN, op. cit., p. 252 n. 1179). Selon la jurisprudence constante, l’administration doit faire preuve de sévérité afin d’assurer le respect de la loi et jouit d’un large pouvoir d’appréciation pour infliger une amende (ATA/569/2015 précité consid. 27c ; ATA/147/2014 précité consid. 9d ; ATA/74/2013 précité consid. 6b et les arrêts cités). La juridiction de céans ne la censure qu’en cas d’excès ou d'abus (ATA/147/2014 précité consid. 9d ; ATA/160/2009 du</w:t>
      </w:r>
    </w:p>
    <w:p>
      <w:r>
        <w:rPr>
          <w:b/>
        </w:rPr>
        <w:t>E. 31</w:t>
      </w:r>
    </w:p>
    <w:p>
      <w:r>
        <w:t>mars 2009 consid. 5c). Enfin, l’amende doit respecter le principe de la proportionnalité (art. 36 al. 3 Cst. ; ATA/147/2014 précité consid. 9d ; ATA/61/2014 précité consid. 6b ; ATA/74/2013 précité consid. 6b et les arrêts cités).</w:t>
      </w:r>
    </w:p>
    <w:p>
      <w:r>
        <w:t>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ATA/569/2015 précité consid. 27d ; ATA/147/2014 précité consid. 9e ; ATA/74/2013 précité consid. 6b).</w:t>
      </w:r>
    </w:p>
    <w:p>
      <w:r>
        <w:t>- 25/27 - A/1606/2014</w:t>
      </w:r>
    </w:p>
    <w:p>
      <w:r>
        <w:t>e. En l’espèce, l’autorité intimée a infligé à la société une amende de CHF 3'000.-. Cette dernière a tout au moins fait preuve de négligence en ne se renseignant pas auprès de l’autorité compétente sur la nécessité d’une autorisation de construire avant d’exploiter son salon de prostitution dans une zone résidentielle. Par ailleurs, le montant de l’amende, pour une affectation qui n’était pas autorisable, se situe dans la tranche inférieure des amendes de l’art. 137 al. 1 LCI. La société ne conteste d’ailleurs pas sa quotité.</w:t>
      </w:r>
    </w:p>
    <w:p>
      <w:r>
        <w:t>L’autorité intimée n’a dès lors pas abusé de son pouvoir d’appréciation en infligeant à la société une amende de CHF 3'000.-. 15) Dans ces circonstances, la décision du DALE du 30 avril 2014 est conforme au droit. Le recours de A______ contre le jugement du TAPI sera rejeté et celui de Mme B______ partiellement admis. Il sera constaté que l’amende de CHF 3'000.- infligée par le DALE le 30 avril 2014 n’a été prononcée qu’à l’encontre de A______. Le jugement TAPI sera annulé en tant qu’il déclare recevable le recours de Mme B______ concernant cette amende, lequel sera déclaré irrecevable. Le jugement du TAPI sera confirmé pour le surplus. 16) Vu l’issue du litige et dans la mesure où l’admission partielle du recours de Mme B______ ne porte que sur un point d’importance mineure, un émolument de CHF 2'000.- sera mis à la charge des recourantes, prises conjointement et solidairement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