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ATA/823/2016 vom 4. Oktober 2016</w:t>
      </w:r>
    </w:p>
    <w:p>
      <w:r>
        <w:t>GE Cour de justice, 2016-10-04, FR</w:t>
      </w:r>
    </w:p>
    <w:p>
      <w:r>
        <w:rPr>
          <w:b/>
        </w:rPr>
        <w:t xml:space="preserve">Quelle: </w:t>
      </w:r>
      <w:r>
        <w:t>https://mcp.opencaselaw.ch/entscheid/ge_gerichte_ATA_823_2016</w:t>
      </w:r>
    </w:p>
    <w:p>
      <w:r>
        <w:t>FR: GE_GERICHTE ATA/823/2016 du 4 octobre 2016</w:t>
      </w:r>
    </w:p>
    <w:p>
      <w:r>
        <w:t>IT: GE_GERICHTE ATA/823/2016 del 4 ottobre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consiste à déterminer si le TAPI était fondé à confirmer la décision prise le 19 janvier 2015 par l’OCPM, refusant de renouveler l'autorisation de séjour du recourant.</w:t>
      </w:r>
    </w:p>
    <w:p>
      <w:r>
        <w:rPr>
          <w:b/>
        </w:rPr>
        <w:t>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4</w:t>
      </w:r>
    </w:p>
    <w:p>
      <w:r>
        <w:t>La loi fédérale sur les étrangers du 16 décembre 2005 (LEtr - RS 142.20) et ses ordonnances, en particulier l’ordonnance relative à l’admission, au séjour et à</w:t>
      </w:r>
    </w:p>
    <w:p>
      <w:r>
        <w:t>- 11/22 - A/542/2015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rPr>
          <w:b/>
        </w:rPr>
        <w:t>E. 5</w:t>
      </w:r>
    </w:p>
    <w:p>
      <w:r>
        <w:t>a. L’art. 30 al. 1 let. b LEtr permet de déroger aux conditions d’admission en Suisse, telles que prévues aux art. 18 à 29 LEtr, notamment aux fins de tenir compte des cas individuels d’une extrême gravité ou d’intérêts publics majeurs.</w:t>
      </w:r>
    </w:p>
    <w:p>
      <w:r>
        <w:t>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octobre 2013, état au 18 juillet 2016, n. 5.6.4).</w:t>
      </w:r>
    </w:p>
    <w:p>
      <w:r>
        <w:t>b.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w:t>
      </w:r>
    </w:p>
    <w:p>
      <w:r>
        <w:t>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ATA/1192/2015 du 3 novembre 2015 ; ATA/894/2015 du 1er septembre 2015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w:t>
      </w:r>
    </w:p>
    <w:p>
      <w:r>
        <w:t>- 12/22 - A/542/2015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ATA/1192/2015 précité ; ATA/894/2015 précité ; ATA/823/2015 précité ; ATA/635/2015 précité ; ATA/648/2009 du</w:t>
      </w:r>
    </w:p>
    <w:p>
      <w:r>
        <w:rPr>
          <w:b/>
        </w:rPr>
        <w:t>E. 8</w:t>
      </w:r>
    </w:p>
    <w:p>
      <w:r>
        <w:t>a. 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w:t>
      </w:r>
    </w:p>
    <w:p>
      <w:r>
        <w:t>b. Concernant le lien affectif particulièrement fort, la jurisprudence s’est récemment assouplie (ATF 139 I 315 consid. 2.5). Un lien affectif « usuel », correspondant à celui qu’entretient généralement un père divorcé avec son enfant, suffit, l’importance du rôle des pères divorcés et leur implication dans l’éducation des enfants s’étant accrues depuis les années 1990. Ainsi, l’exigence du lien affectif particulièrement fort doit être considérée comme remplie lorsque les contacts personnels sont exercés dans le cadre d'un droit de visite usuel selon les standards d'aujourd'hui.</w:t>
      </w:r>
    </w:p>
    <w:p>
      <w:r>
        <w:t>c. Le droit de visite n'est toutefois déterminant que dans la mesure où il est effectivement exercé. Cette précision de la jurisprudence ne s'applique cependant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Sa situation particulière lui confère un droit (conditionnel) à la prolongation d'une autorisation de droit des étrangers pour autant que les conditions fixées par l'une de ces dispositions soient réunies (ATF 139 I 315 consid. 2.4). À l’inverse, en l'absence de liens antérieurs prononcés avec la Suisse, un étranger ne peut fonder sa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(ATF 139 I 315 consid. 2.4 ; arrêt du Tribunal fédéral 2C_318/2013 du 5 septembre 2013).</w:t>
      </w:r>
    </w:p>
    <w:p>
      <w:r>
        <w:t>d. Une telle solution prend également en compte l'art. 9 § 3 de la Convention relative aux droits de l'enfant du 20 novembre 1989 (CDE - RS 0.107), aux termes duquel « les États parties veillent à ce que l'enfant ne soit pas séparé de ses parents contre leur gré, à moins que les autorités compétentes ne décident, sous réserve de révision judiciaire et conformément aux lois et procédures applicables, que cette</w:t>
      </w:r>
    </w:p>
    <w:p>
      <w:r>
        <w:t>- 18/22 - A/542/2015 séparation est nécessaire dans l'intérêt supérieur de l'enfant (...) ». Aucune prétention directe à l'octroi d'une autorisation de droit des étrangers ne peut toutefois être déduite des dispositions de la CDE (ATF 126 II 377 consid. 5 ; 124 II 361 consid. 3b).</w:t>
      </w:r>
    </w:p>
    <w:p>
      <w:r>
        <w:t>e. Dans un cas récent, la chambre administrative a admis le recours d’un ressortissant irakien qui vivait en Suisse depuis quinze ans et qui avait requis le renouvellement de son autorisation de séjour, dès lors que les autorités genevoises l’avaient laissé dans l’incertitude du renouvellement de son permis de séjour pendant trois ans et demi après lui avoir confirmé leur accord de prolonger son autorisation de séjour. La pesée des intérêts avait été également influencée par la relation suivie et excédant le droit de visite usuel, que l’intéressé avait nouée avec sa fille, suissesse, âgée de 9 ans et cela malgré le fait qu’il avait été condamné pénalement par le passé, dès lors qu’il n’avait plus commis d’infraction pénale depuis 2007, à l’exception d’une contravention pour excès de bruit (ATA/65/2014 du 4 février 2014).</w:t>
      </w:r>
    </w:p>
    <w:p>
      <w:r>
        <w:t>f. Dans un autre cas, la chambre administrative a refusé le renouvellement d'une autorisation de séjour à un étranger marié à une Suissesse mais ne faisant plus ménage commun avec elle. Bien que l'intéressé soit resté douze ans en Suisse, il ne remplissait pas les conditions d'intégration. Les relations qu'il entretenait avec sa fille suissesse de 11 ans avaient été trop ténues pour justifier la délivrance d'une autorisation de séjour (droit de visite exercé très irrégulièrement par le passé et absence de versement d'une contribution d'entretien depuis sa naissance ; ATA/449/2014 du 17 juin 2014).</w:t>
      </w:r>
    </w:p>
    <w:p>
      <w:r>
        <w:t>g. Dans un cas où mère et fille, toutes deux de nationalité étrangère, souhaitaient obtenir un titre de séjour en Suisse afin que la fille puisse continuer à voir son père, ressortissant étranger titulaire d’une autorisation d’établissement de type C, la chambre administrative a considéré qu’au vu de l’ensemble des circonstances, rien n’empêchait le père d’exercer son droit de visite à l’étranger, même si la fréquence dudit exercice serait diminuée par la distance géographique, ni de contribuer financièrement à l’entretien de sa fille à distance. Le droit de visite père-fille tel que prévu dans la convention ratifiée par le Tribunal de protection de l’adulte et de l’enfant n’étant pas entièrement exercé de manière effective, le lien affectif père-fille ne pouvait pas être qualifié de particulièrement intense. Même si elle avait vécu en Suisse depuis sa naissance, la fille, de par son jeune âge, restait très attachée à sa mère et était susceptible de s'adapter à un nouvel environnement dans son pays d’origine et d’en apprendre la langue. Dans ces circonstances, elle ne pouvait pas se prévaloir d'un intérêt privé important à pouvoir poursuivre son séjour en Suisse, en vertu de l’art. 8 CEDH (ATA/598/2014 du 29 juillet 2014).</w:t>
      </w:r>
    </w:p>
    <w:p>
      <w:r>
        <w:rPr>
          <w:b/>
        </w:rPr>
        <w:t>E. 9</w:t>
      </w:r>
    </w:p>
    <w:p>
      <w:r>
        <w:t>Les circonstances de l'espèce se rapprochent de celles de l'ATA/449/2014 précité. Le recourant n'a jamais contribué à l'entretien matériel de sa fille</w:t>
      </w:r>
    </w:p>
    <w:p>
      <w:r>
        <w:t>- 19/22 - A/542/2015 E______. S'agissant du lien affectif, il n'a vécu en ménage commun avec elle que durant sa première année d'existence, et il n'a jamais eu l'autorité parentale. Il a certes entretenu des relations relativement suivies avec sa fille pendant quelques années, mais celles-ci se sont progressivement distendues, au point de ne plus guère la voir en 2014 (une fois par mois selon ses propres dires, et seulement deux fois dans l'année selon la mère de l'enfant). La reprise de contacts plus réguliers en 2015 (soit deux fois par mois) coïncide peut-être, comme le prétend le recourant, avec une amélioration de son état de santé ; il n'en demeure pas moins qu'elle est aussi, objectivement, concomitante à la réception de la décision de non-renouvellement et de renvoi, si bien que l'on ne peut être sûr qu'elle ne procède pas, du moins en partie, d'une démarche opportuniste.</w:t>
      </w:r>
    </w:p>
    <w:p>
      <w:r>
        <w:t>Par ailleurs, il serait possible au recourant – qui, on l'a vu, ne remplit pas les conditions d'intégration en Suisse – d'exercer son droit de visite en restant au Maroc, la mère de l'enfant ayant indiqué qu'elle s'efforcerait de permettre à E______ de prendre des vacances au Maroc et d'entretenir des contacts par téléphone ou visioconférence.</w:t>
      </w:r>
    </w:p>
    <w:p>
      <w:r>
        <w:t>Dès lors, c'est à juste titre que le TAPI a retenu que le recourant ne pouvait se voir délivrer une autorisation de séjour sur la base de l'art. 8 CEDH.</w:t>
      </w:r>
    </w:p>
    <w:p>
      <w:r>
        <w:rPr>
          <w:b/>
        </w:rPr>
        <w:t>E. 10</w:t>
      </w:r>
    </w:p>
    <w:p>
      <w:r>
        <w:t>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En vertu de cette disposition, le recourant, qui a vu son autorisation de séjour révoquée, et les membres de sa famille qui n’ont plus droit au regroupement familial et qui ne disposent pas d’un autre titre de séjour, doivent être renvoyés de Suisse (ATA/182/2014 du 25 mars 2014).</w:t>
      </w:r>
    </w:p>
    <w:p>
      <w:r>
        <w:t>b.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(ATA/182/2014 précité ; ATA/244/2012 du 24 avril 2012 ; ATA/750/2011 du 6 décembre 2011 ; ATA/848/2010 du 30 novembre 2010).</w:t>
      </w:r>
    </w:p>
    <w:p>
      <w:r>
        <w:t>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w:t>
      </w:r>
    </w:p>
    <w:p>
      <w:r>
        <w:t>- 20/22 - A/542/2015 exemple en cas de guerre, de guerre civile, de violence généralisée ou de nécessité médicale (art. 83 al. 4 LEtr).</w:t>
      </w:r>
    </w:p>
    <w:p>
      <w:r>
        <w:t>c. En l’espèce, le recourant n’a pas invoqué de motif permettant de retenir que son renvoi serait impossible ou illicite, et il n’en ressort pas du dossier produit par les parties. En outre, ce renvoi est raisonnablement exigible dans la mesure où, comme déjà examiné, les problèmes de santé du recourant pourraient continuer à être traités dans son pays d'origine.</w:t>
      </w:r>
    </w:p>
    <w:p>
      <w:r>
        <w:rPr>
          <w:b/>
        </w:rPr>
        <w:t>E. 11</w:t>
      </w:r>
    </w:p>
    <w:p>
      <w:r>
        <w:t>Entièrement mal fondé, le recours sera rejeté.</w:t>
      </w:r>
    </w:p>
    <w:p>
      <w:r>
        <w:rPr>
          <w:b/>
        </w:rPr>
        <w:t>E. 12</w:t>
      </w:r>
    </w:p>
    <w:p>
      <w:r>
        <w:t>Il ne sera pas prélevé d'émolument dans le cadre de la présente instance, le recourant plaidant désormais au bénéfice de l'assistance juridique (art. 87 al. 1 LPA cum art. 13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