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ATA/823/2014 vom 28. Oktober 2014</w:t>
      </w:r>
    </w:p>
    <w:p>
      <w:r>
        <w:t>GE Cour de justice, 2014-10-28, FR</w:t>
      </w:r>
    </w:p>
    <w:p>
      <w:r>
        <w:rPr>
          <w:b/>
        </w:rPr>
        <w:t xml:space="preserve">Quelle: </w:t>
      </w:r>
      <w:r>
        <w:t>https://mcp.opencaselaw.ch/entscheid/ge_gerichte_ATA_823_2014</w:t>
      </w:r>
    </w:p>
    <w:p>
      <w:r>
        <w:t>FR: GE_GERICHTE ATA/823/2014 du 28 octobre 2014</w:t>
      </w:r>
    </w:p>
    <w:p>
      <w:r>
        <w:t>IT: GE_GERICHTE ATA/823/2014 del 28 ottobre 2014</w:t>
      </w:r>
    </w:p>
    <w:p>
      <w:pPr>
        <w:pStyle w:val="Heading2"/>
      </w:pPr>
      <w:r>
        <w:t>Erwägungen</w:t>
      </w:r>
    </w:p>
    <w:p>
      <w:r>
        <w:rPr>
          <w:b/>
        </w:rPr>
        <w:t>E. 6</w:t>
      </w:r>
    </w:p>
    <w:p>
      <w:r>
        <w:t>septembre 2013, une indemnité de procédure équitable devant en outre lui être allouée.</w:t>
      </w:r>
    </w:p>
    <w:p>
      <w:r>
        <w:t>Le TAPI avait violé son droit d’être entendu en n’instruisant pas la mesure qu’il avait sollicitée dans sa réplique du 16 janvier 2014 et en ne la mentionnant même pas dans le jugement.</w:t>
      </w:r>
    </w:p>
    <w:p>
      <w:r>
        <w:t>Le recourant reprenait pour le reste ses griefs antérieurs. 17) Le TAPI a transmis le 5 mars 2014 son dossier, sans émettre d’observations. 18) Dans sa réponse du 28 mars 2014, le département a relevé qu’une simple consultation du registre des habitants du canton de Genève permettait de constater que, contrairement aux allégations du recourant, la situation évoquée dans la réplique de celui-ci du 16 janvier 2014 était sensiblement différente, notamment quant aux relations familiales. 19) Dans sa réplique du 5 mai 2014, M. A______ a persisté dans ses conclusions et arguments. 20) Sur ce, la cause a été gardée à juger. 21) Pour le surplus, les arguments respectifs des parties seront repris, en tant que de besoin, dans la partie en droit ci-après.</w:t>
      </w:r>
    </w:p>
    <w:p>
      <w:r>
        <w:t>- 8/16 - A/3260/2013 EN DROIT 1)</w:t>
      </w:r>
    </w:p>
    <w:p>
      <w:r>
        <w:t>Interjeté en temps utile devant la juridiction compétente, le recours est recevable (art. 132 de la loi sur l'organisation judiciaire du 26 septembre 2010 – LOJ - E 2 05 ; art. 17 al. 3 et 62 al. 1 let. a de la loi sur la procédure administrative du 12 septembre 1985 - LPA - E 5 10). 2)</w:t>
      </w:r>
    </w:p>
    <w:p>
      <w:r>
        <w:t>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w:t>
      </w:r>
    </w:p>
    <w:p>
      <w:r>
        <w:rPr>
          <w:b/>
        </w:rPr>
        <w:t>E. 10</w:t>
      </w:r>
    </w:p>
    <w:p>
      <w:r>
        <w:t>juin 2013 consid. 1.1).</w:t>
      </w:r>
    </w:p>
    <w:p>
      <w:r>
        <w:t>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w:t>
      </w:r>
    </w:p>
    <w:p>
      <w:r>
        <w:t>b. Le grief du recourant selon lequel le TAPI aurait violé son droit d’être entendu en n’instruisant pas la mesure qu’il avait sollicitée dans sa réplique du 16 janvier 2014 et en ne la mentionnant même pas dans le jugement ne saurait être admis, étant donné notamment que, pour les questions présentement litigieuses, chaque situation est unique et doit faire l’objet d’un examen approfondi in concreto, l’autorité intimée disposant en outre d’un pouvoir d’appréciation.</w:t>
      </w:r>
    </w:p>
    <w:p>
      <w:r>
        <w:t>- 9/16 - A/3260/2013</w:t>
      </w:r>
    </w:p>
    <w:p>
      <w:r>
        <w:t>Le fait que le TAPI ait omis l’examen de cette requête d’instruction ne saurait, dans ces circonstances porter à conséquence.</w:t>
      </w:r>
    </w:p>
    <w:p>
      <w:r>
        <w:t>Au demeurant, même si elle était admise, une violation du droit d’être entendu serait réparée dans le cadre de la présente procédure de recours puisque l'irrégularité n'est pas particulièrement grave et que la partie concernée a eu la possibilité de s'exprimer et de recevoir une décision motivée de la part de la chambre de céans disposant d'un pouvoir d'examen complet en fait et en droit, respectivement du même pouvoir d’examen que le TAPI ; par surabondance, le renvoi à cette juridiction constituerait une vaine formalité, provoquant un allongement inutile de la procédure, incompatible avec l'intérêt de la partie concernée à ce que sa cause soit tranchée dans un délai raisonnable (ATF 137 I 195 consid. 2.3.2 ; ATA/815/2013 du 10 décembre 2013 consid. 3d). 4)</w:t>
      </w:r>
    </w:p>
    <w:p>
      <w:r>
        <w:t>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desdits pays. Quant à la loi fédérale sur les étrangers du 16 décembre 2005 (LEtr - RS 142.20), elle s’applique à ces derniers uniquement si ses dispositions sont plus favorables que celles de l’ALCP et si celui-ci ne contient pas de dispositions dérogatoires (art. 12 ALCP ; art. 2 LEtr). 5) a. Dans la mesure où l'ALCP ne réglemente pas la révocation de l'autorisation d'établissement UE/AELE, c'est l'art. 63 LEtr qui trouve application, par renvoi de l’art. 23 al. 2 OLCP.</w:t>
      </w:r>
    </w:p>
    <w:p>
      <w:r>
        <w:t>En vertu de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du Code pénal suisse du 21 décembre 1937 (CP - RS 311.0) (art. 62 let. b LEtr), ou s’il attente de manière très grave à la sécurité et l’ordre publics en Suisse ou à l’étranger, les met en danger ou représente une menace pour la sécurité intérieure ou extérieure de la Suisse (art. 63 al. 1 let. b LEtr).</w:t>
      </w:r>
    </w:p>
    <w:p>
      <w:r>
        <w:t>Il suffit que l'une des conditions soit réalisée (arrêts du Tribunal fédéral 2C_432/2011 du 13 octobre 2011 consid. 2.1 et 2C_265/2011 du 27 septembre 201, consid. 5.1). Selon la jurisprudence, une peine privative de liberté est considérée comme de longue durée lorsqu'elle dépasse un an d'emprisonnement (ATF 137 II 297 consid. 2 ; 135 II 377 consid. 4.5), indépendamment du fait qu'elle ait été prononcée avec un sursis complet ou partiel, respectivement sans sursis (arrêts du Tribunal fédéral 2C_432/2011 précité consid. 2.1 et 2C_265/2011 précité consid. 5.2). Une personne attente « de manière très grave » à la sécurité et</w:t>
      </w:r>
    </w:p>
    <w:p>
      <w:r>
        <w:t>- 10/16 - A/3260/2013 à l'ordre publics lorsque ses actes lèsent ou compromettent des biens juridiques particulièrement importants comme l'intégrité corporelle, physique ou sexuelle. Par analogie, des violations de moindre gravité peuvent, considérées dans leur ensemble, être qualifiées de « très graves » (ATF 137 II 297 consid. 3).</w:t>
      </w:r>
    </w:p>
    <w:p>
      <w:r>
        <w:t>b. En l’occurrence, les conditions d’application de l’art. 63 al. 2 LEtr ne seront pas examinées séparément de celles de l’art. 5 annexe I ALCP, ce dernier n’étant pas moins favorable au recourant que le premier. 6)</w:t>
      </w:r>
    </w:p>
    <w:p>
      <w:r>
        <w:t>Selon l'art. 5 annexe I ALCP, les droits octroyés par les dispositions de l'ALCP (notamment le droit de présence et de séjour en Suisse, y compris après la fin de l’activité économique, fondé sur les art. 4 et 7 ALCP ainsi que sur les art. 1, 2 et 4 de l'annexe I ALCP) ne peuvent être limités que par des mesures justifiées par des raisons d’ordre public, de sécurité publique et de santé publique (§ 1) ; conformément à l’art. 16 ALCP, il est fait référence aux directives 64/221/CEE, 72/194/CEE et 75/35/CEE (§ 2).</w:t>
      </w:r>
    </w:p>
    <w:p>
      <w:r>
        <w:t>Le cadre et les modalités sont ainsi définis par les trois directives citées - dont la plus importante est la directive 64/221/CEE -, ainsi que par la jurisprudence y relative de la Cour de justice des Communautés européennes, devenue la Cour de justice de l'Union européenne (ci-après : la CJUE), rendue avant la signature de l'accord le 21 juin 1999 (arrêt du Tribunal fédéral 2C_238/2012 du 30 juillet 2012 consid. 2.3 ; au sujet de la prise en considération des arrêts de la Cour de Justice postérieurs à cette date, ATF 136 II 5 consid. 3.4).</w:t>
      </w:r>
    </w:p>
    <w:p>
      <w:r>
        <w:t>Conformément à la jurisprudence du Tribunal fédéral, qui s'appuie en cela sur celle de la CJUE, les limitations au principe de la libre circulation des personnes doivent s'interpréter de manière restrictive. Le recours par une autorité nationale à la notion d'ordre public suppose, en tout cas, l'existence, en dehors du trouble pour l'ordre social que constitue toute infraction à la loi, d'une menace réelle et suffisamment grave, affectant un intérêt fondamental de la société (ATF 139 II 121 consid. 5.3).</w:t>
      </w:r>
    </w:p>
    <w:p>
      <w:r>
        <w:t>L'art. 5 annexe I ALCP s'oppose ainsi au prononcé de mesures décidées (exclusivement) pour des motifs de prévention générale. C'est le risque concret de récidive qui est déterminant (ATF 136 II 5 consid. 4.2 ; arrêts du Tribunal fédéral 2C_565/2013 du 6 décembre 2013 consid. 3.5 et 2C_260/2013 du 8 juillet 2013 consid. 4.1). L'existence d'une condamnation pénale ne peut être ainsi retenue que dans la mesure où les circonstances qui ont donné lieu à cette condamnation font apparaître l'existence d'un comportement personnel constituant une menace actuelle pour l'ordre public (cf. art. 3 § 1 et 2 de la 64/221/CEE précitée).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(ATF 130 II 176 consid. 3.4.1 ; arrêts du</w:t>
      </w:r>
    </w:p>
    <w:p>
      <w:r>
        <w:t>- 11/16 - A/3260/2013 Tribunal fédéral 2C_565/2013 précité consid. 3.5 et 2C_260/2013 précité consid. 4.1).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(ATF 139 II 121 consid. 5.3).</w:t>
      </w:r>
    </w:p>
    <w:p>
      <w:r>
        <w:t>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(ATF 139 II 121 consid. 5.3 ; arrêts du Tribunal fédéral 2C_565/2013 précité consid. 3.5, 2C_260/2013 précité consid. 4.1 et 2C_401/2012 du 18 septembre 2012 consid. 3.3). Ce risque pourra être admis en particulier pour les multirécidivistes qui n'ont pas tiré de leçon de leurs condamnations pénales antérieures (arrêts du Tribunal fédéral 2C_260/2013 précité consid. 4.1 et 2C_447/2008 du 17 mars 2009 consid. 5.3).</w:t>
      </w:r>
    </w:p>
    <w:p>
      <w:r>
        <w:t>L'évaluation du risque de récidive sera d'autant plus stricte que le bien juridique menacé est important (ATF 139 II 121 consid. 5.3 ; 136 II 5 consid. 4.2 ; arrêt du Tribunal fédéral 2C_260/2013 précité consid. 4.1).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du Tribunal fédéral 2C_565/2013 précité consid. 3.5, 2C_260/2013 précité consid. 4.1 et 2C_238/2012 du 30 juillet 2012 consid. 2.3). 7)</w:t>
      </w:r>
    </w:p>
    <w:p>
      <w:r>
        <w:t>En l’espèce, le bien juridique menacé - l’intégrité sexuelle et physique de mineures, voire de femmes adultes - est particulièrement important. Les actes commis par le recourant sur une période d’environ cinq ans sont d’une immense gravité, comme l’ont retenu la Cour d’assises et la Cour de cassation. Celui-ci n’a notamment pas hésité à profiter de l’emprise qu’il avait sur celle qu’il croyait alors être sa fille et même à utiliser la violence lorsque la situation lui est apparue moins favorable.</w:t>
      </w:r>
    </w:p>
    <w:p>
      <w:r>
        <w:t>Le seul argument du recourant servant à nier un risque de récidive consiste dans son intention de ne pas reprendre contact avec B______ A______. Toutefois, rien ne permet d’exclure que le recourant se retrouve dans une situation lui permettant d’exercer une emprise sur une autre femme, mineure ou adulte, par exemple si celle-ci est fragile psychiquement ou dépendante d’une quelconque manière de l’intéressé. Les explications du recourant et le dossier ne contiennent aucun élément rassurant au cas où une telle hypothèse se réalisait. Le recourant n’a en particulier fait état d’aucun travail d’introspection ou de début de thérapie</w:t>
      </w:r>
    </w:p>
    <w:p>
      <w:r>
        <w:t>- 12/16 - A/3260/2013 pour ne pas récidiver. Il n’a même pas exprimé des remords ou des regrets, ni même des excuses à l’intention de la victime. Il n’a enfin pas mentionné d’éventuelles mesures qu’il prendrait afin de ne pas se trouver à nouveau dans une situation similaire avec une autre femme que B______ A______.</w:t>
      </w:r>
    </w:p>
    <w:p>
      <w:r>
        <w:t>C’est en vain que le recourant se prévaut de son bon comportement en prison et de ses efforts dans le cadre d’une formation d’électricien. En effet, d'après la jurisprudence,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(ATF 139 II 121 consid. 5.5.2). Au demeurant, le recourant a commis les infractions pénales à une période durant laquelle il était intégré socialement et professionnellement.</w:t>
      </w:r>
    </w:p>
    <w:p>
      <w:r>
        <w:t>Il importe également peu dans les présentes circonstances que le recourant soit actuellement en contact régulier avec les membres de sa famille, en particulier son frère, et des amis résidant en Suisse, dans la mesure notamment où ses relations avec des tiers ne l’ont pas dissuadé de commettre les actes commis entre 2005 et 2009 et où l’intéressé n’a nullement allégué que ses proches lui seraient un soutien pour ne pas récidiver.</w:t>
      </w:r>
    </w:p>
    <w:p>
      <w:r>
        <w:t>Enfin, les statistiques invoquées par le recourant, selon lesquelles le taux de récidive des agresseurs d’enfants, auteurs d’agressions intrafamiliales, est généralement faible, c’est-à-dire inférieur à 10 %, ne sont pas déterminantes. Le risque de récidive doit en effet être examiné in concreto, au cas par cas.</w:t>
      </w:r>
    </w:p>
    <w:p>
      <w:r>
        <w:t>Au vu de ce qui précède, il y a lieu de retenir que le recourant constitue ainsi une menace actuelle et suffisamment grave pour l'ordre public, affectant un intérêt fondamental de la société, comme requis par l’art. 5 de l’annexe I ALCP. 8)</w:t>
      </w:r>
    </w:p>
    <w:p>
      <w:r>
        <w:t>Tant en application de l'ALCP que des art. 96 LEtr et 8 § 2 CEDH, il faut que la pesée des intérêts publics et privés effectuée dans le cas d'espèce fasse apparaître la mesure d'éloignement comme proportionnée aux circonstances. Les textes ont sous cet angle la même portée (arrêt du Tribunal fédéral 2C_1071/2013 précité consid. 5.3).</w:t>
      </w:r>
    </w:p>
    <w:p>
      <w:r>
        <w:t>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31 consid.</w:t>
      </w:r>
    </w:p>
    <w:p>
      <w:r>
        <w:t>- 13/16 - A/3260/2013 2.3.1 ; 139 I 145 consid. 2.4 ; arrêts du Tribunal fédéral 2C_565/2013 précité consid. 4.1 et 2C_459/2013 du 21 octobre 2013 consid. 3.2).</w:t>
      </w:r>
    </w:p>
    <w:p>
      <w:r>
        <w:t>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arrêts du Tribunal fédéral 2C_565/2013 précité consid. 4.1 et 2C_365/2013 du 30 août 2013 consid. 2.3).</w:t>
      </w:r>
    </w:p>
    <w:p>
      <w:r>
        <w:t>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(arrêt du Tribunal fédéral 2C_260/2013 précité consid. 5.1 ; ATF 135 II 110 consid. 2.1). 9)</w:t>
      </w:r>
    </w:p>
    <w:p>
      <w:r>
        <w:t>Dans le cas présent, le recourant a un intérêt important à demeurer en Suisse, en particulier dans le canton de Genève. Il y vit en effet depuis presque trente ans et y est intégré aux plans professionnel, social et familial. À cet égard, l'intégration professionnelle n'implique pas nécessairement la réalisation d'une trajectoire professionnelle particulièrement brillante (arrêt du Tribunal fédéral 2C_565/2013 précité consid. 4.3.1). En outre, la plupart des membres de la famille du recourant, en particulier son frère avec lequel il entretient une relation étroite, de même que la plupart de ses amis vivent dans la région. Dans ces circonstances et comme admis par le TAPI, un renvoi au Portugal occasionnerait indéniablement des difficultés importantes – mais non insurmontables – au recourant sur les plans susmentionnés.</w:t>
      </w:r>
    </w:p>
    <w:p>
      <w:r>
        <w:t>Cela étant, sa culpabilité et la peine privative de liberté à laquelle il a été condamné sont particulièrement lourdes, et l’atteinte à l’intégrité sexuelle et physique de sa victime très grave. À cela s’ajoute un risque de récidive non négligeable.</w:t>
      </w:r>
    </w:p>
    <w:p>
      <w:r>
        <w:t>Par ailleurs, le recourant a vécu dans son pays d’origine jusqu’à l’âge de 20 ans, y est retourné pour des vacances, en parle la langue, et y retrouverait sa sœur en cas de retour. De surcroît, comme relevé par le TAPI, le retour au Portugal du recourant ne signifierait pas la perte de tout lien avec les membres de sa famille et ses amis restés en Suisse, étant donné qu’il pourrait maintenir des contacts réguliers par téléphone, lettres ou messages électroniques (arrêts du</w:t>
      </w:r>
    </w:p>
    <w:p>
      <w:r>
        <w:t>- 14/16 - A/3260/2013 Tribunal fédéral 2C_1142/2012 du 14 mars 2013 consid. 3.5, 2C_881/2012 du 16 janvier 2013 consid. 5.5 et 2C_14/2010 du 15 juin 2010 consid. 7.3) et que ses proches pourraient lui rendre visite au Portugal (arrêt du Tribunal fédéral 2C_1071/2013 précité consid. 5.4).</w:t>
      </w:r>
    </w:p>
    <w:p>
      <w:r>
        <w:t>Dans ces circonstances, l’intérêt public à la protection de la société prime l’intérêt du recourant à rester en Suisse, de sorte que la révocation de l’autorisation d’établissement de celui-ci est conforme au principe de la proportionnalité. 10) Devant la chambre administrative, le recourant ne se prévaut, à juste titre, plus de l’art. 8 § 1 CEDH, lequel ne protégerait du reste pas sa relation avec son frère, faute notamment d’un état de dépendance particulier par rapport à lui (ATF 129 II 11 consid. 2). 11) Enfin, c’est conformément à l’art. 64 al. 1 let. c LEtr que l’OCPM a prononcé le renvoi de Suisse du recourant, et, comme considéré dans la décision du 6 septembre 2013 de ladite autorité, rien ne permet de retenir que l’exécution de son renvoi ne serait pas possible, licite ou raisonnablement exigible selon l’art. 83 LEtr. 12) Au vu de ce qui précède, le recours, infondé, sera rejeté. 13) Le recourant plaidant au bénéfice de l’assistance juridique, aucun émolument ne sera mis à sa charge malgré l’issue du litige (art. 87 al. 1 LPA ; art.</w:t>
      </w:r>
    </w:p>
    <w:p>
      <w:r>
        <w:rPr>
          <w:b/>
        </w:rPr>
        <w:t>E. 13</w:t>
      </w:r>
    </w:p>
    <w:p>
      <w:r>
        <w:t>al. 1 du règlement sur les frais, émoluments et indemnités en procédure administrative du 30 juillet 1986 - RFPA - E 5 10.03). Vu l’issue de celui-ci,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