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ATA/821/2012 vom 4. Dezember 2012</w:t>
      </w:r>
    </w:p>
    <w:p>
      <w:r>
        <w:t>GE Cour de justice, 2012-12-04, FR</w:t>
      </w:r>
    </w:p>
    <w:p>
      <w:r>
        <w:rPr>
          <w:b/>
        </w:rPr>
        <w:t xml:space="preserve">Quelle: </w:t>
      </w:r>
      <w:r>
        <w:t>https://mcp.opencaselaw.ch/entscheid/ge_gerichte_ATA_821_2012</w:t>
      </w:r>
    </w:p>
    <w:p>
      <w:r>
        <w:t>FR: GE_GERICHTE ATA/821/2012 du 4 décembre 2012</w:t>
      </w:r>
    </w:p>
    <w:p>
      <w:r>
        <w:t>IT: GE_GERICHTE ATA/821/2012 del 4 dicembre 2012</w:t>
      </w:r>
    </w:p>
    <w:p>
      <w:pPr>
        <w:pStyle w:val="Heading2"/>
      </w:pPr>
      <w:r>
        <w:t>Erwägungen</w:t>
      </w:r>
    </w:p>
    <w:p>
      <w:r>
        <w:rPr>
          <w:b/>
        </w:rPr>
        <w:t>E. 1</w:t>
      </w:r>
    </w:p>
    <w:p>
      <w:r>
        <w:t>Selon l’art. 66 al. 1 de la loi sur la procédure administrative du 12 septembre 1985 (LPA), le recours a effet suspensif, à moins que l’autorité, qui a pris la décision attaquée, n’ait ordonné son exécution nonobstant recours.</w:t>
      </w:r>
    </w:p>
    <w:p>
      <w:r>
        <w:t>- 3/4 - A/3369/2012 L’art. 66 al. LPA permet à la juridiction de recours, à la demande de la partie dont les intérêts sont gravement menacés, de retirer ou restituer l’effet suspensif lorsqu’aucun intérêt public ou privé prépondérant ne s’y oppose.</w:t>
      </w:r>
    </w:p>
    <w:p>
      <w:r>
        <w:rPr>
          <w:b/>
        </w:rPr>
        <w:t>E. 2</w:t>
      </w:r>
    </w:p>
    <w:p>
      <w:r>
        <w:t>Selon la jurisprudence, il y a lieu d’effectuer une pesée des intérêts publics et privés en jeu, étant précisé que la juridiction peut aussi tenir compte des chances de succès du recours (ATA/41/2012 du 19 janvier 2012).</w:t>
      </w:r>
    </w:p>
    <w:p>
      <w:r>
        <w:rPr>
          <w:b/>
        </w:rPr>
        <w:t>E. 3</w:t>
      </w:r>
    </w:p>
    <w:p>
      <w:r>
        <w:t>En l’espèce, l’intérêt privé du recourant, de nature économique, doit être reconnu. Il ne saurait toutefois prévaloir sur l’intérêt public à ce que son établissement soit exploité de manière conforme aux exigences légales, auxquelles le recourant ne s’est pas soumis, malgré le délai d’adaptation qui lui a été donné.</w:t>
      </w:r>
    </w:p>
    <w:p>
      <w:r>
        <w:rPr>
          <w:b/>
        </w:rPr>
        <w:t>E. 4</w:t>
      </w:r>
    </w:p>
    <w:p>
      <w:r>
        <w:t>Pour le surplus, le recourant admet l’irrégularité de la situation. Son argumentation relève essentiellement de l’opportunité, élément qui, sauf exception non réalisée en l’espèce, ne peut être revue par la chambre administrative (art. 61 al. 2 LPA). Les chances de succès de son recours apparaissent ainsi minimes.</w:t>
      </w:r>
    </w:p>
    <w:p>
      <w:r>
        <w:rPr>
          <w:b/>
        </w:rPr>
        <w:t>E. 5</w:t>
      </w:r>
    </w:p>
    <w:p>
      <w:r>
        <w:t>La requête de restitution d’effet suspensif sera rejetée. Le sort des frais de la procédure est réservé jusqu’à droit jugé au fond.</w:t>
      </w:r>
    </w:p>
    <w:p>
      <w:r>
        <w:t>LA CHAMBRE ADMINISTRATIVE rejette la demande de restitution d’effet suspensif formée par M. G______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G______ ainsi qu’au service du commerce.</w:t>
      </w:r>
    </w:p>
    <w:p>
      <w:r>
        <w:t>- 4/4 - A/3369/2012</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