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ATA/820/2015 vom 11. August 2015</w:t>
      </w:r>
    </w:p>
    <w:p>
      <w:r>
        <w:t>GE Cour de justice, 2015-08-11, FR</w:t>
      </w:r>
    </w:p>
    <w:p>
      <w:r>
        <w:rPr>
          <w:b/>
        </w:rPr>
        <w:t xml:space="preserve">Quelle: </w:t>
      </w:r>
      <w:r>
        <w:t>https://mcp.opencaselaw.ch/entscheid/ge_gerichte_ATA_820_2015</w:t>
      </w:r>
    </w:p>
    <w:p>
      <w:r>
        <w:t>FR: GE_GERICHTE ATA/820/2015 du 11 août 2015</w:t>
      </w:r>
    </w:p>
    <w:p>
      <w:r>
        <w:t>IT: GE_GERICHTE ATA/820/2015 del 11 agosto 2015</w:t>
      </w:r>
    </w:p>
    <w:p>
      <w:pPr>
        <w:pStyle w:val="Heading2"/>
      </w:pPr>
      <w:r>
        <w:t>Erwägungen</w:t>
      </w:r>
    </w:p>
    <w:p>
      <w:r>
        <w:rPr>
          <w:b/>
        </w:rPr>
        <w:t>E. 12</w:t>
      </w:r>
    </w:p>
    <w:p>
      <w:r>
        <w:t>septembre 1985 - LPA - E 5 10). 2)</w:t>
      </w:r>
    </w:p>
    <w:p>
      <w:r>
        <w:t>Le litige porte sur le traitement fiscal réservé à la provision pour garantie de CHF 680'519.-, figurant au passif du bilan 2009 de la contribuable. 3)</w:t>
      </w:r>
    </w:p>
    <w:p>
      <w:r>
        <w:t>impôt fédéral direct</w:t>
      </w:r>
    </w:p>
    <w:p>
      <w:r>
        <w:t>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2C_637/2012 du 4 octobre 2012 consid. 6.1 ; 2C_392/2009 du 23 août 2010 consi. 2.2 in RDAF 2011 II 70 ;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- 6/9 - A/1895/2013</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(ATA/520/2014 du 1er juillet 2014 ; ATA/829/2013 du</w:t>
      </w:r>
    </w:p>
    <w:p>
      <w:r>
        <w:rPr>
          <w:b/>
        </w:rPr>
        <w:t>E. 17</w:t>
      </w:r>
    </w:p>
    <w:p>
      <w:r>
        <w:t>décembre 2013 ; ATA/607/2008 du 4 février 2009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w:t>
      </w:r>
    </w:p>
    <w:p>
      <w:r>
        <w:t>f. La pratique et la jurisprudence ont toutefois assoupli ces principes en admettant la constitution d’une provision forfaitaire leur donnant parfois une base légale ou réglementaire (art. 15 de l’ordonnance du Conseil exécutif du canton de Berne sur les amortissements 18 octobre 2000- OAm - RS BE 661.312.59 ; arrêt du Tribunal fédéral 2C_553/2007 du 29 septembre 2008 consid. 2.1), les cantons concernés appliquant ces provisions forfaitaires aussi bien en matière d’impôt cantonaux que fédéraux. Les taux appliqués varient, dans ces cantons, entre 1 et 2 % (arrêt du Tribunal fédéral 2C_553/2007 précité consid. 2.1), les contribuables concernés conservant la possibilité de constituer une provision dépassant le taux forfaitaire, pour autant qu’ils démontrent que le montant retenu se fonde sur les appels aux prestations de garantie apparus au cours des exercices précédents.</w:t>
      </w:r>
    </w:p>
    <w:p>
      <w:r>
        <w:t>En l’espèce, une telle règle n’existe pas en droit genevois et ce sont les règles ordinaires sur le fardeau de la preuve qui trouvent application. 4)</w:t>
      </w:r>
    </w:p>
    <w:p>
      <w:r>
        <w:t>Selon la jurisprudence constante, en matière fiscale, il appartient à l’autorité fiscale de démontrer l’existence d’éléments créant ou augmentant la charge fiscale, tandis que le contribuable doit supporter le fardeau de la preuve des</w:t>
      </w:r>
    </w:p>
    <w:p>
      <w:r>
        <w:t>- 7/9 - A/1895/2013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 ATA/112/2015 du 27 janvier 2015). Ces règles s’appliquent également à la procédure devant les autorités de recours en matière fiscale (arrêt du Tribunal fédéral 2C_47/2009 du 26 mai 2009 consid. 5.4 ; ATA/112/2015 précité).</w:t>
      </w:r>
    </w:p>
    <w:p>
      <w:r>
        <w:t>S’agissant des provisions, le Tribunal fédéral a eu l’occasion de préciser que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précité consid. 3.2). 5)</w:t>
      </w:r>
    </w:p>
    <w:p>
      <w:r>
        <w:t>En l’espèce, la société indique que la détermination du risque repose sur un calcul forfaitaire fondé sur le 3 % du chiffre d’affaires façon de l’année ainsi qu’à un complément sur le chiffre d’affaires façon des mois de novembre et décembre justifié par le fait que le taux de retours moyen pour l’année 2009 se situait bien au-dessus des 3 %.</w:t>
      </w:r>
    </w:p>
    <w:p>
      <w:r>
        <w:t>Le TAPI a retenu une provision forfaitaire de 3% car celle-ci tenait compte de la durée pendant laquelle la contribuable pouvait être actionnée pour des défauts de fabrication.</w:t>
      </w:r>
    </w:p>
    <w:p>
      <w:r>
        <w:t>Or, même en appliquant les règles assouplies d’admission sur le plan fiscal de provision pour garantie rappelées ci-dessus, le fait que la garantie contractuelle ne soit que de deux mois, empêche la prise en compte d’une provision fondée sur le chiffre d’affaire annuel, les dix douzièmes des retours ayant lieu dans l’année considérée et non pas dans l’exercice suivant.</w:t>
      </w:r>
    </w:p>
    <w:p>
      <w:r>
        <w:t>En outre, s’agissant des retours liés aux mois de novembre et décembre, aucune indication chiffrée ou pièce probante n’a été remise par la contribuable qui permettrait d’entrer en matière pour l’admission d’une provision de 1,5 % du chiffre d’affaires, conforme à la pratique de l’AFC confirmée par la chambre de céans (ATA/552/2014 précité ; ATA/484/2013 précité).</w:t>
      </w:r>
    </w:p>
    <w:p>
      <w:r>
        <w:t>En conséquence, force est de constater que la provision litigieuse doit être réintégrée dans le bénéfice de la contribuable et que le recours de l’AFC doit être admis sur ce point. 6)</w:t>
      </w:r>
    </w:p>
    <w:p>
      <w:r>
        <w:t>S’agissant de la provision pour escomptes de CHF 41'722.-, discutée par la contribuable dans ses écritures, elle n’a pas été admise par le TAPI et ne fais dès</w:t>
      </w:r>
    </w:p>
    <w:p>
      <w:r>
        <w:t>- 8/9 - A/1895/2013 lors plus partie de l’objet du litige, la contribuable n’ayant pas contesté ce jugement. Cette provision ne sera dès lors pas examinée plus avant. 7)</w:t>
      </w:r>
    </w:p>
    <w:p>
      <w:r>
        <w:t>Impôt cantonal et communal</w:t>
      </w:r>
    </w:p>
    <w:p>
      <w:r>
        <w:t>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w:t>
      </w:r>
    </w:p>
    <w:p>
      <w:r>
        <w:t>Une solution identique doit donc prévaloir en matière d’ICC. 8)</w:t>
      </w:r>
    </w:p>
    <w:p>
      <w:r>
        <w:t>En conséquence, le recours de l’AFC sera admis, le jugement du TAPI annulé et les décisions sur réclamations de l’AFC du 6 mai 2013, concernant l’ICC et l’IFD 2009 rétablies. 9)</w:t>
      </w:r>
    </w:p>
    <w:p>
      <w:r>
        <w:t>Au vu de l’issue du litige, un émolument de CHF 500.- sera mis à la charge de la contribuable (art. 87 al. 1 LPA) et il ne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