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ATA/820/2012 vom 4. Dezember 2012</w:t>
      </w:r>
    </w:p>
    <w:p>
      <w:r>
        <w:t>GE Cour de justice, 2012-12-04, FR</w:t>
      </w:r>
    </w:p>
    <w:p>
      <w:r>
        <w:rPr>
          <w:b/>
        </w:rPr>
        <w:t xml:space="preserve">Quelle: </w:t>
      </w:r>
      <w:r>
        <w:t>https://mcp.opencaselaw.ch/entscheid/ge_gerichte_ATA_820_2012</w:t>
      </w:r>
    </w:p>
    <w:p>
      <w:r>
        <w:t>FR: GE_GERICHTE ATA/820/2012 du 4 décembre 2012</w:t>
      </w:r>
    </w:p>
    <w:p>
      <w:r>
        <w:t>IT: GE_GERICHTE ATA/820/2012 del 4 dicembre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b de la loi sur la procédure administrative du 12 septembre 1985 - LPA - E 5 10).</w:t>
      </w:r>
    </w:p>
    <w:p>
      <w:r>
        <w:rPr>
          <w:b/>
        </w:rPr>
        <w:t>E. 2</w:t>
      </w:r>
    </w:p>
    <w:p>
      <w:r>
        <w:t>Selon l’art. 10 al. 2 LaLEtr, la chambre administrative doit statuer dans les dix jours qui suivent sa saisine. Ayant reçu le recours le 26 novembre 2012 et statuant ce jour, elle respecte ce délai.</w:t>
      </w:r>
    </w:p>
    <w:p>
      <w:r>
        <w:t>- 4/6 - A/3411/2012</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Selon l’art. 76 al. 1 let. b ch. 2 LEtr, l’autorité compétente peut, lorsqu’une décision de renvoi ou d’expulsion de première instance a été notifiée et afin d’en assurer l’exécution, mettre en détention la personne concernée notamment lorsque l’ODM a prononcé une décision de non-entrée en matière au sens de l’art. 32. al. 2 let. a LAsi.</w:t>
      </w:r>
    </w:p>
    <w:p>
      <w:r>
        <w:t>Cette hypothèse étant réalisée en l’espèce, la principe de la détention sera confirmé.</w:t>
      </w:r>
    </w:p>
    <w:p>
      <w:r>
        <w:rPr>
          <w:b/>
        </w:rPr>
        <w:t>E. 5</w:t>
      </w:r>
    </w:p>
    <w:p>
      <w:r>
        <w:t>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Conformément à la jurisprudence, ces raisons doivent être importantes. Il ne suffit pas que l’exécution du renvoi soit momentanément impossible, tout en restant envisageable dans un délai prévisible. L’exécution du renvoi doit être qualifiée d’impossible lorsque le rapatriement est pratiquement exclu, même si l’identité de l’étranger est connue et que les papiers d’identité nécessaires peuvent être obtenus (Arrêt du Tribunal fédéral 2C_625/2011 du 5 septembre 2011).</w:t>
      </w:r>
    </w:p>
    <w:p>
      <w:r>
        <w:t>En l'espèce, il n'y aucune impossibilité juridique ou matérielle à l'exécution du renvoi. Une convention récente lie la Suisse et la RDC sur cette question, laquelle prévoit expressément, à son art. 8, la possibilité d’exécuter le renvoi avec une escorte policière ou par vol spécial. Le fait que l'intéressé persiste à déclarer ne pas vouloir se rendre dans son pays d’origine ne saurait constituer une telle impossibilité.</w:t>
      </w:r>
    </w:p>
    <w:p>
      <w:r>
        <w:rPr>
          <w:b/>
        </w:rPr>
        <w:t>E. 6</w:t>
      </w:r>
    </w:p>
    <w:p>
      <w:r>
        <w:t>En conséquence, le recours sera rejeté. Vu la nature du litige, il ne sera pas perçu d’émolument (art. 12 du règlement sur les frais, émoluments et indemnités en procédure administrative du 30 juillet 1986 - RFPA - E 5 10.03). Vu l’issue de celui-là,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