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ATA/819/2015 vom 11. August 2015</w:t>
      </w:r>
    </w:p>
    <w:p>
      <w:r>
        <w:t>GE Cour de justice, 2015-08-11, FR</w:t>
      </w:r>
    </w:p>
    <w:p>
      <w:r>
        <w:rPr>
          <w:b/>
        </w:rPr>
        <w:t xml:space="preserve">Quelle: </w:t>
      </w:r>
      <w:r>
        <w:t>https://mcp.opencaselaw.ch/entscheid/ge_gerichte_ATA_819_2015</w:t>
      </w:r>
    </w:p>
    <w:p>
      <w:r>
        <w:t>FR: GE_GERICHTE ATA/819/2015 du 11 août 2015</w:t>
      </w:r>
    </w:p>
    <w:p>
      <w:r>
        <w:t>IT: GE_GERICHTE ATA/819/2015 del 11 agosto 2015</w:t>
      </w:r>
    </w:p>
    <w:p>
      <w:pPr>
        <w:pStyle w:val="Heading2"/>
      </w:pPr>
      <w:r>
        <w:t>Erwägungen</w:t>
      </w:r>
    </w:p>
    <w:p>
      <w:r>
        <w:rPr>
          <w:b/>
        </w:rPr>
        <w:t>E. 12</w:t>
      </w:r>
    </w:p>
    <w:p>
      <w:r>
        <w:t>septembre 1985 - LPA - E 5 10). 2)</w:t>
      </w:r>
    </w:p>
    <w:p>
      <w:r>
        <w:t>La recourante fait premièrement valoir une violation de son droit d'être entendue. Rien n'indiquerait que le SCAV aurait délégué son audition au policier qui l'a auditionnée. Le SCAV n'aurait pas donné à la recourante l'occasion de s'exprimer sur le rapport de police établi à la suite de cette audition. Elle n'aurait pas eu la possibilité de prendre position avant le prononcé de la décision litigieuse. 3) a. Toute personne a le droit d'être entendue (art. 29 al. 2 de la Constitution fédérale de la Confédération suisse du 18 avril 1999 - Cst. - RS 101). Les parties ont le droit d’être entendues par l’autorité compétente avant que ne soit prise une décision.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w:t>
      </w:r>
    </w:p>
    <w:p>
      <w:r>
        <w:t>- 8/12 - A/794/2015 arrêts cités ; ATA/305/2013 du 14 mai 2013 consid. 3; ATA/40/2013 du 22 janvier 2013).</w:t>
      </w:r>
    </w:p>
    <w:p>
      <w:r>
        <w:t>b.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135 II 286 consid. 5.1 p. 293) ; arrêts du Tribunal fédéral 5A_ 12/2013 du 8 mars 2013 consid. 4.1 ; 2C_552/2011 du</w:t>
      </w:r>
    </w:p>
    <w:p>
      <w:r>
        <w:rPr>
          <w:b/>
        </w:rPr>
        <w:t>E. 15</w:t>
      </w:r>
    </w:p>
    <w:p>
      <w:r>
        <w:t>mars 2012 consid. 3.1).</w:t>
      </w:r>
    </w:p>
    <w:p>
      <w:r>
        <w:t>c. 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 ATA/862/2010 du 7 décembre 2010 consid 2 et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arrêts du Tribunal fédéral 2C_34/2013 du 21 janvier 2013 consid. 6.3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132 II 21 consid. 3.1 p. 27 ; 129 I 361 consid. 2.1 p. 363 et les références citées ; 122 I 97 consid. 3 p. 99 ; arrêt du Tribunal fédéral 2C_34/2013 du 21 janvier 2013 consid. 6.3).</w:t>
      </w:r>
    </w:p>
    <w:p>
      <w:r>
        <w:t>e.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w:t>
      </w:r>
    </w:p>
    <w:p>
      <w:r>
        <w:t>- 9/12 - A/794/2015 5A_150/2010 du 20 mai 2010 consid. 4.3 ; 1C_104/2010 du 29 avril 2010 consid. 2 ; ATA/304/2013 précité ; ATA/192/2012 du 3 avril 2012 ; Pierre MOOR/Etienne POLTIER, Droit administratif, vol. 2, 3ème éd., 2011, ch. 2.2.7.4 p. 322 et 2.3.3.1 p. 362 ; Thierry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 ATA/301/2012 du 15 mai 2012). 4)</w:t>
      </w:r>
    </w:p>
    <w:p>
      <w:r>
        <w:t>En l'espèce, la chambre de céans dispose du même pouvoir d'examen que l'autorité inférieure s'agissant des griefs invoqués par la recourante, qui concernent l'établissement des faits. La recourante a pu faire valoir ses arguments devant la chambre de céans aussi efficacement qu’elle aurait dû le faire avant le prononcé de la décision litigieuse. Elle a eu l’occasion de s’exprimer par écrit à de nombreuses reprises et d’exposer son point de vue, ainsi que de produire toutes les pièces qu’elle estimait utile à l’appui de ses allégués. L’autorité intimée a répondu à ses écritures, se prononçant sur les griefs qu’elle estimait pertinents pour l’issue du litige, et la recourante ayant eu l’occasion de répliquer.</w:t>
      </w:r>
    </w:p>
    <w:p>
      <w:r>
        <w:t>Par conséquent, sans qu'il soit besoin de se prononcer sur l'existence d'un éventuel vice de procédure en phase non contentieuse, celui-ci aurait de toute manière été réparé. Le grief sera rejeté. 5)</w:t>
      </w:r>
    </w:p>
    <w:p>
      <w:r>
        <w:t>La recourante invoque qu'elle n'a pas violé les dispositions de la loi fédérale du 16 décembre 2005 sur la protection des animaux (LPAn - RS 455). 6) a. Toute personne qui s'occupe d'animaux doit tenir compte au mieux de leurs besoins et veiller à leur bien-être dans la mesure où le but de leur utilisation le permet (art. 4 al. 1 LPAn).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(art. 4 al. 2 LPAn). Toute personne qui détient des animaux ou en assume la garde doit, d'une manière appropriée, les nourrir, en prendre soin, leur garantir l'activité et la liberté de mouvement nécessaires à leur bien-être et, s'il le faut, leur fournir un gîte (art. 6 al. 1 LPAn).</w:t>
      </w:r>
    </w:p>
    <w:p>
      <w:r>
        <w:t>- 10/12 - A/794/2015</w:t>
      </w:r>
    </w:p>
    <w:p>
      <w:r>
        <w:t>b. Les animaux doivent être détenus et traités de manière à ce que leurs fonctions corporelles et leur comportement ne soient pas gênés et que leur faculté d'adaptation ne soit pas sollicitée de manière excessive (art. 3 al. 1 de l'ordonnance sur la protection des animaux du 23 avril 2008 - OPAn - RS 455.1).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 Les sols en dur doivent être non glissants et suffisamment propres. Dans l'aire de repos, ils doivent être suffisamment secs et satisfaire aux besoins de chaleur des animaux (art. 34 al. 1 OPAn). Les conteneurs servant au transport doivent être assez spacieux pour que les animaux puissent être transportés dans une position physiologique normale (art. 167 al. 1 OPAn).</w:t>
      </w:r>
    </w:p>
    <w:p>
      <w:r>
        <w:t>c.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ainsi qu'aux personnes qui, pour d'autres raisons, sont incapables de détenir ou d'élever des animaux (art. 23 al. 1 LPAn).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À cet effet, elle peut faire appel aux organes de police (art. 24 al. 1 LPAn). Les autorités chargées de l'exécution de la présente loi ont accès aux locaux, installations, véhicules, objets et animaux; pour ce faire, elles ont qualité d'organes de la police judiciaire (art. 39 LPAn). 7)</w:t>
      </w:r>
    </w:p>
    <w:p>
      <w:r>
        <w:t>En l'espèce, les photographies produites de l'appartement et les déclarations du SCAV et du fonctionnaire de police ayant visité les lieux en date du 16 janvier 2015 suffisent à fonder les allégations de mauvais traitements infligés aux chiens avancées par l'intimé. L'état d'insalubrité des lieux, les nombreuses souillures, déjections et divers débris qui jonchaient les sols étaient propres à les exposer à un danger. Par ailleurs, les allégations de la recourante qui déclare ne jamais avoir laissé les deux chiens dans cet appartement mais les avoir gardés la plupart du temps auprès d'elle dans son local commercial ne sont pas crédibles. Premièrement, les deux chiens ont bel et bien été retrouvés seuls dans l'appartement en date du 16 janvier 2015. Deuxièmement, l'état des souillures, déjections et restes de nourriture relevés dans l'appartement ce jour-là tendent à démontrer que les deux chiens y avaient séjourné récemment pendant de longues périodes. Enfin, il n'est pas crédible que la recourante eût comme habitude de garder les deux chiens dans le local commercial. L’état de l’appartement, les</w:t>
      </w:r>
    </w:p>
    <w:p>
      <w:r>
        <w:t>- 11/12 - A/794/2015 souillures, déjections et épines de bois arrachées de l’escalier indiquent que les deux chiens y ont séjourné l’essentiel du temps. 8)</w:t>
      </w:r>
    </w:p>
    <w:p>
      <w:r>
        <w:t>Au vu de ce qui précède, le recours sera rejeté.</w:t>
      </w:r>
    </w:p>
    <w:p>
      <w:r>
        <w:t>Le prononcé du présent arrêt rend la demande de mesures provisionnelles et de restitution de l’effet suspensif sans objet. Un émolument de CHF 500.- sera mis à la charge de la recourante (art. 87 al. 1 LPA) et il ne lui est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