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ATA/818/2013 vom 17. Dezember 2013</w:t>
      </w:r>
    </w:p>
    <w:p>
      <w:r>
        <w:t>GE Cour de justice, 2013-12-17, FR</w:t>
      </w:r>
    </w:p>
    <w:p>
      <w:r>
        <w:rPr>
          <w:b/>
        </w:rPr>
        <w:t xml:space="preserve">Quelle: </w:t>
      </w:r>
      <w:r>
        <w:t>https://mcp.opencaselaw.ch/entscheid/ge_gerichte_ATA_818_2013</w:t>
      </w:r>
    </w:p>
    <w:p>
      <w:r>
        <w:t>FR: GE_GERICHTE ATA/818/2013 du 17 décembre 2013</w:t>
      </w:r>
    </w:p>
    <w:p>
      <w:r>
        <w:t>IT: GE_GERICHTE ATA/818/2013 del 17 dicembre 2013</w:t>
      </w:r>
    </w:p>
    <w:p>
      <w:pPr>
        <w:pStyle w:val="Heading2"/>
      </w:pPr>
      <w:r>
        <w:t>Erwägungen</w:t>
      </w:r>
    </w:p>
    <w:p>
      <w:r>
        <w:rPr>
          <w:b/>
        </w:rPr>
        <w:t>E. 1</w:t>
      </w:r>
    </w:p>
    <w:p>
      <w:r>
        <w:t>Interjeté en temps utile devant la juridiction compétente, le recours est recevable sur ce point (art. 132 de la loi sur l'organisation judiciaire du 26 septembre 2010 - LOJ - E 2 05 ; art. 62 al. 1 let. a de la loi sur la procédure administrative du 12 septembre 1985 - LPA - E 5 10)</w:t>
      </w:r>
    </w:p>
    <w:p>
      <w:r>
        <w:rPr>
          <w:b/>
        </w:rPr>
        <w:t>E. 2</w:t>
      </w:r>
    </w:p>
    <w:p>
      <w:r>
        <w:t>Destinataire de la décision litigieuse, M. B______ dispose en outre de la qualité pour recourir au sens de l’art. 60 al. 1 let. b LPA.</w:t>
      </w:r>
    </w:p>
    <w:p>
      <w:r>
        <w:rPr>
          <w:b/>
        </w:rPr>
        <w:t>E. 3</w:t>
      </w:r>
    </w:p>
    <w:p>
      <w:r>
        <w:t>La LTaxis a pour but d’assurer un exercice des professions de transport de personnes au moyen de voitures automobiles et une exploitation de services de taxis et de limousines conformes, notamment, aux exigences de la sécurité publique, de la moralité publique, du respect de l’environnement et de la loyauté dans les transactions commerciales, ainsi qu’aux règles relatives à l’utilisation du domaine public (art. 1 al.1 LTaxis).</w:t>
      </w:r>
    </w:p>
    <w:p>
      <w:r>
        <w:t>a. L’art. 34 LTaxis énumère les obligations des chauffeurs. L’alinéa 3 de cette disposition prévoit qu’un certain nombre d’informations doit être affiché à la vue des passagers : les tarifs pratiqués par le taxi, le prix de la course, la mention de l’obligation faite au chauffeur de remettre d’office une quittance, le numéro d’immatriculation du taxi, la désignation de l’entreprise si elle est détentrice du véhicule ainsi que le numéro d’appel téléphonique général ou, le cas échéant, de la centrale d’ordres de course ou de l’entreprise.</w:t>
      </w:r>
    </w:p>
    <w:p>
      <w:r>
        <w:t>L’art. 46 du règlement d’exécution de la loi sur les taxis et limousines (transport professionnel de personnes au moyen de voitures automobiles du 4 mai 2005 - RTaxis – H 1 30.01) règle la question des informations aux passagers. Son premier alinéa précise que les chauffeurs de taxis sont responsables du maintien en tout temps et en bon état de lisibilité de l’affichage des informations aux passagers, prescrites par l’art. 34 al. 3 de la loi. Le feuillet d'information aux passagers portant sur les tarifs, sur les obligations essentielles des chauffeurs et sur les numéros d'appel pour les réclamations ou les recherches d'objets est délivré par le service pour être affiché ou à disposition immédiate des clients, conformément à l’art. 46 al. 2 RTaxis. L'information est donnée en français et en anglais.</w:t>
      </w:r>
    </w:p>
    <w:p>
      <w:r>
        <w:t>- 5/8 -</w:t>
      </w:r>
    </w:p>
    <w:p>
      <w:r>
        <w:t>A/1306/2011</w:t>
      </w:r>
    </w:p>
    <w:p>
      <w:r>
        <w:t>b. L’art. 34 al. 4 LTaxis stipule que les chauffeurs remettent d’office à leur client, chaque fois qu’ils encaissent le prix d’une course, une quittance comportant, outre le prix, le numéro d’immatriculation du véhicule, l’adresse et le numéro d’appel téléphonique de la centrale ou de l’entreprise à laquelle le véhicule appartient ou un numéro de téléphone personnel si le chauffeur est indépendant et travaille sans être affilié à une centrale. Le chauffeur doit conserver une copie des quittances. L’obligation de délivrer une quittance est également prévue à l’art. 53 RTaxis. Il s'agit d'une obligation légale, ayant pour but le contrôle des prix et permettant de garantir le droit du consommateur de formuler des réclamations (Arrêt du Tribunal fédéral 2P.83/2005 du 26 janvier 2006, consid. 5.2 ; MGC 2003-2004/VII A 3233).</w:t>
      </w:r>
    </w:p>
    <w:p>
      <w:r>
        <w:rPr>
          <w:b/>
        </w:rPr>
        <w:t>E. 4</w:t>
      </w:r>
    </w:p>
    <w:p>
      <w:r>
        <w:t>Selon l’art. 45 al. 1 LTaxis, le Scom peut infliger une amende administrative de CHF 100.- à CHF 20'000.- à toute personne ayant enfreint les prescriptions de la loi ou de ses dispositions d’exécution.</w:t>
      </w:r>
    </w:p>
    <w:p>
      <w:r>
        <w:t>a. Les amendes administratives prévues par les législations cantonales sont de nature pénale, car aucun critère ne permet de les distinguer clairement des contraventions pour lesquelles la compétence administrative de première instance peut, au demeurant, aussi exister. La quotité de la sanction administrative doit être fixée en tenant compte des principes généraux régissant le droit pénal (ATA/844/2012 du 18 décembre 2012 ; ATA/757/2011 du 13 décembre 2011 ; ATA/788/2010 du 16 novembre 2010 ; ATA/571/2010 du 31 août 2010 ; P. MOOR/E. POLTIER, Droit administratif : les actes administratifs et leur contrôle, Vol. 2, 2011, ch. 1.4.5.5, p. 160 s).</w:t>
      </w:r>
    </w:p>
    <w:p>
      <w:r>
        <w:t>b.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w:t>
      </w:r>
    </w:p>
    <w:p>
      <w:r>
        <w:t>c. Il est ainsi nécessaire que le contrevenant ait commis une faute, fût-ce sous la forme d’une simple négligence (U. HÄFELIN/G. MÜLLER/F. UHLMANN, Allgemeines Verwaltungsrecht, 6ème éd., 2006, p. 252, n. 1179). Selon la jurisprudence constante, l’administration doit faire preuve de sévérité afin d’assurer le respect de la loi et jouit d’un large pouvoir d’appréciation pour infliger une amende (ATA/844/2012 du 18 décembre 2012 ; ATA/757/2011 du 13 décembre 2011 ; ATA/14/2011 du 11 janvier 2011 ; ATA/788/2010 du 16 novembre 2010 ; ATA/571/2010 du 31 août 2010). La juridiction de céans ne la censure qu’en cas d’excès du pouvoir d’appréciation (ATA/844/2012 du 18 décembre 2012 ; ATA/160/2009 du 31 mars 2009). Enfin, l’amende doit respecter le principe de la proportionnalité (art. 36 al. 3 de la Constitution fédérale de la Confédération suisse du 18 avril 1999 - Cst. - RS 101 ; ATA/844/2012 du</w:t>
      </w:r>
    </w:p>
    <w:p>
      <w:r>
        <w:t>- 6/8 -</w:t>
      </w:r>
    </w:p>
    <w:p>
      <w:r>
        <w:t>A/1306/2011</w:t>
      </w:r>
    </w:p>
    <w:p>
      <w:r>
        <w:t>18 décembre 2012 ; ATA/533/2010 du 4 août 2010 ; ATA/201/2010 du 23 mars 2010).</w:t>
      </w:r>
    </w:p>
    <w:p>
      <w:r>
        <w:rPr>
          <w:b/>
        </w:rPr>
        <w:t>E. 5</w:t>
      </w:r>
    </w:p>
    <w:p>
      <w:r>
        <w:t>En l’absence de témoin, le Scom s’est fondé sur le rapport de dénonciation émis par la police en date du 30 avril 2011 pour conclure à la réalisation, par M. B______, des infractions aux art. 34 al. 3 LTaxis et 46 RTaxis ainsi qu’aux art. 34 al. 4 LTaxis et 53 RTaxis.</w:t>
      </w:r>
    </w:p>
    <w:p>
      <w:r>
        <w:t>Tels que rapportés par les agents de police, les faits du 30 avril 2011 sont constitutifs d’infractions aux dispositions précitées. Le Scom pouvait considérer les déclarations de la police comme crédibles. En effet, de jurisprudence constance, la chambre de céans accorde généralement une pleine valeur probante aux constatations figurant dans un rapport de police, établi par des agents assermentés (ATA/757/2011 du 13 décembre 2011 ; ATA/532/2006 du 3 octobre 2006 ; ATA/475/2005 du 28 juin 2005), sauf si des éléments permettent de s’en écarter.</w:t>
      </w:r>
    </w:p>
    <w:p>
      <w:r>
        <w:rPr>
          <w:b/>
        </w:rPr>
        <w:t>E. 6</w:t>
      </w:r>
    </w:p>
    <w:p>
      <w:r>
        <w:t>Cependant, en l’espèce, le prononcé d’une amende administrative est entaché d’un vice procédural.</w:t>
      </w:r>
    </w:p>
    <w:p>
      <w:r>
        <w:t>a. Selon l’art. 48 LTaxis, une commission de discipline, formée des représentants des milieux professionnels, des organes de police et de l’office cantonal des véhicules (ci-après : l’OCV), est appelée à donner son préavis sur les mesures et sanctions administratives que le Scom peut être amené à prononcer. Ses préavis ont valeur consultative et ne lient pas ce dernier.</w:t>
      </w:r>
    </w:p>
    <w:p>
      <w:r>
        <w:t>b. La commission de discipline siège à quatre membres, par rotation éventuelle entre ses membres. Elle est présidée par un représentant du Scom qui invite un membre de la police et un membre de l’OCV à participer aux séances (art. 74 al. 1 RTaxis). Les séances de la commission sont convoquées par le Scom, autant de fois qu’il le juge nécessaire selon les dossiers en cours (art. 74 al. 2 RTaxis). Pour les infractions impliquant des amendes en application de l’art. 45 de la loi, le préavis de la commission peut être donné au Scom par la seule approbation d’un barème (art. 74 al. 3 RTaxis). Le Scom ne peut toutefois pas garder confidentiel le barème des amendes administratives, auquel le RTaxis fait expressément référence et qui doit être accessible à chacun, au même titre que le sont les montants des amendes d’ordre du 24 juin 1970 (LAO – RS 741.03) et figurent dans une ordonnance fédérale du 4 mars 1996 (OAO – RS 741.031).</w:t>
      </w:r>
    </w:p>
    <w:p>
      <w:r>
        <w:t>c. En plusieurs occasions déjà (ATA/844/2012 du 18 décembre 2012 ; ATA/223/2012 du 17 avril 2012 ; ATA/757/2011 du 13 décembre 2011), la chambre de céans a mis en doute la légalité de l’art. 74 al. 3 RTaxis.</w:t>
      </w:r>
    </w:p>
    <w:p>
      <w:r>
        <w:t>La question de savoir si cette disposition réglementaire dispose d’une base légale suffisante peut cependant rester ici ouverte. Selon le texte clair de l’art. 74</w:t>
      </w:r>
    </w:p>
    <w:p>
      <w:r>
        <w:t>- 7/8 -</w:t>
      </w:r>
    </w:p>
    <w:p>
      <w:r>
        <w:t>A/1306/2011</w:t>
      </w:r>
    </w:p>
    <w:p>
      <w:r>
        <w:t>al. 3 RTaxis, l’approbation par la commission de discipline du barème ne peut dispenser cette dernière d’émettre un préavis que « pour les infractions impliquant des amendes ». Or, tel n’est pas le cas des infractions reprochées au recourant. Tant le non-affichage du feuillet d’information que la non-délivrance de quittance sont passibles d’une amende et de suspension ou retrait de la carte professionnelle (art. 45 et 46 LTaxis). Même si ces deux dernières mesures n’ont pas été prononcées à l’encontre du recourant, il reste que ces infractions sont considérées comme graves par le législateur et que le Scom devait par conséquent convoquer la commission de discipline et requérir son préavis avant de rendre sa décision.</w:t>
      </w:r>
    </w:p>
    <w:p>
      <w:r>
        <w:t>Conformément à la jurisprudence, l’absence d’un tel préavis, dans un tel cas, entraîne l’invalidation de la décision (ATA/844/2012 du 18 décembre 2012 ; ATA/223/2012 du 17 avril 2012 ; ATA/757/2011 du 13 décembre 2011 ; P. MOOR/E. POLTIER, Droit administratif, vol. 2, 2ème éd., 2002, p. 246, n.2.2.5.4 et références citées).</w:t>
      </w:r>
    </w:p>
    <w:p>
      <w:r>
        <w:rPr>
          <w:b/>
        </w:rPr>
        <w:t>E. 7</w:t>
      </w:r>
    </w:p>
    <w:p>
      <w:r>
        <w:t>La chambre administrative s’étonne que le Scom, qui ne peut ignorer la jurisprudence constante de la chambre de céans en la matière, continue néanmoins à se passer de l’exigence légale de recueillir le préavis de la commission de discipline. Ces violations de la loi à répétition entraînent la nécessité de fixer un émolument. Pour cette affaire, il sera fixé à hauteur de CHF 500.- (art. 87 al. 1 LPA).</w:t>
      </w:r>
    </w:p>
    <w:p>
      <w:r>
        <w:rPr>
          <w:b/>
        </w:rPr>
        <w:t>E. 8</w:t>
      </w:r>
    </w:p>
    <w:p>
      <w:r>
        <w:t>En conséquence, le recours sera partiellement admis et le dossier sera retourné au Scom afin qu’il requiert le préavis de la commission de discipline puis, cas échéant, qu’il statue à nouveau.</w:t>
      </w:r>
    </w:p>
    <w:p>
      <w:r>
        <w:rPr>
          <w:b/>
        </w:rPr>
        <w:t>E. 9</w:t>
      </w:r>
    </w:p>
    <w:p>
      <w:r>
        <w:t>Vu la manière dont le Scom a procédé, un émolument de CHF 500.- sera mis à la charge de celui-ci, en dérogation au principe posé à l’art. 87 al.1 LPA mais aucune indemnité de procédure ne sera allouée au recourant, qui n’y a pas conclu et n’a pas exposé de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