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ATA/815/2015 vom 11. August 2015</w:t>
      </w:r>
    </w:p>
    <w:p>
      <w:r>
        <w:t>GE Cour de justice, 2015-08-11, FR</w:t>
      </w:r>
    </w:p>
    <w:p>
      <w:r>
        <w:rPr>
          <w:b/>
        </w:rPr>
        <w:t xml:space="preserve">Quelle: </w:t>
      </w:r>
      <w:r>
        <w:t>https://mcp.opencaselaw.ch/entscheid/ge_gerichte_ATA_815_2015</w:t>
      </w:r>
    </w:p>
    <w:p>
      <w:r>
        <w:t>FR: GE_GERICHTE ATA/815/2015 du 11 août 2015</w:t>
      </w:r>
    </w:p>
    <w:p>
      <w:r>
        <w:t>IT: GE_GERICHTE ATA/815/2015 del 11 agosto 2015</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3)</w:t>
      </w:r>
    </w:p>
    <w:p>
      <w:r>
        <w:t>Le recourant reproche au TAPI d’avoir violé les dispositions applicables à l’octroi d’une autorisation de séjour pour cas individuel d’extrême gravité et conteste l’exigibilité de l’exécution de son renvoi. 4) a. Selon l’art. 30 al. 1 let. b LEtr, il est possible de déroger aux conditions d’admission d’un étranger en Suisse pour tenir compte d’un cas individuel d’extrême gravité.</w:t>
      </w:r>
    </w:p>
    <w:p>
      <w:r>
        <w:t>b. À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Cette disposition comprend donc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sur les</w:t>
      </w:r>
    </w:p>
    <w:p>
      <w:r>
        <w:t>- 6/10 - A/2501/2014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ATA/770/2014 du 30 septembre 2014 ; ATA/703/2014 du 2 septembre 2014 ; ATA/531/2010 du 4 avril 2010). Elles ne confèrent pas de droit à l'obtention d'une autorisation de séjour (ATF 137 II 345 consid. 3.2.1 p. 348).</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ATA/770/2014 précité ; ATA/703/2014 précité ; ATA/36/2013 du 22 janvier 2013 ; ATA/720/2011 du 22 novembre 2011 ; ATA/639/2011 du 11 octobre 2011 ; ATA/774/2010 du 9 novembre 2010). 5)</w:t>
      </w:r>
    </w:p>
    <w:p>
      <w:r>
        <w:t>En l’espèce, M. A______ a essentiellement invoqué la durée de son séjour en Suisse, son intégration personnelle et socio-professionnelle ainsi que la situation économique difficile prévalant dans son pays d’origine pour justifier l’octroi d’une autorisation de séjour en dérogation aux conditions d’admission en sa faveur.</w:t>
      </w:r>
    </w:p>
    <w:p>
      <w:r>
        <w:t>a. Le recourant séjourne de manière continue en Suisse depuis 2005 et peut donc se prévaloir à ce jour d’une dizaine d’années de séjour sur le sol helvétique. Cependant, le simple fait pour un étranger de séjourner en Suisse pendant de</w:t>
      </w:r>
    </w:p>
    <w:p>
      <w:r>
        <w:t>- 7/10 - A/2501/2014 longues années ne permet pas d’admettre un cas personnel d’extrême gravité surtout lorsque, comme en l’espèce, l’intéressé a d’abord vécu en Suisse de manière totalement illégale et n’y est que toléré depuis le dépôt de sa demande de régularisation. Sous cet angle, il se trouve dans une situation comparable à celle de nombreux étrangers appelés à quitter la Suisse au terme d’un séjour autorisé ou non et qui, ne bénéficiant d’aucun traitement particulier, demeurent soumis aux conditions d’admission.</w:t>
      </w:r>
    </w:p>
    <w:p>
      <w:r>
        <w:t>b. D’un point de vue tant personnel que professionnel, l’intégration du recourant en Suisse doit être qualifiée de bonne, sans toutefois atteindre les critères d’exception exigés par la jurisprudence pour être considérée comme ressortant d’un cas de rigueur. Professionnellement, il a manifestement acquis des connaissances appréciables et importantes et une expérience qui ne peut être négligée. Toutefois, il n’apparaît pas que ces éléments soient tellement spécifiques qu’il ne puisse les mettre en pratique dans son pays d’origine. De plus, le fait, pour un artisan, de devenir chef d’équipe, puis patron de sa propre entreprise ne démontre pas une ascension professionnelle significativement remarquable.</w:t>
      </w:r>
    </w:p>
    <w:p>
      <w:r>
        <w:t>D’un point de vue personnel, les documents produits par le recourant démontrent une excellente intégration dans le tissu genevois, aussi relevée, en particulier du point de vue de l’apprentissage de la langue française, par l’autorité intimée. Sous réserve de l’incident en matière de circulation routière et des infractions aux prescriptions de la police des étrangers qu’il a commises en séjournant et en travaillant en Suisse sans autorisation, l’intéressé a fait preuve d’un comportement irréprochable sur le territoire helvétique. Même si le fait de prendre la fuite après un accident de la circulation ne doit en aucun cas être minimisé, cet élément doit être fortement relativisé d’une part parce qu’il est unique et d’autre part du fait du temps écoulé depuis lors.</w:t>
      </w:r>
    </w:p>
    <w:p>
      <w:r>
        <w:t>Il est toutefois normal que, en séjournant dans un pays tiers, un ressortissant étranger qui y crée des attaches, se familiarise avec le mode de vie et apprenne la langue qui y est parlée.</w:t>
      </w:r>
    </w:p>
    <w:p>
      <w:r>
        <w:t>Ces éléments n’apparaissent toutefois pas déterminants, à eux seuls, pour permettre la reconnaissance d’une situation d’extrême gravité.</w:t>
      </w:r>
    </w:p>
    <w:p>
      <w:r>
        <w:t>c. Quant aux possibilités de réintégration du recourant dans son pays d’origine, il importe en premier lieu de relever que M. A______ a passé son enfance, son adolescence et les premières années de sa vie d’adulte dans son pays d’origine dans lequel s’y trouvent encore ses parents et quatre de ses frères et sœurs, avec qui il maintient des contacts réguliers.</w:t>
      </w:r>
    </w:p>
    <w:p>
      <w:r>
        <w:t>D’un point de vue économique, il est certain qu’en cas de retour, l’intéressé se heurtera à des difficultés notamment en raison de la situation économique qui prévaut au Kosovo.</w:t>
      </w:r>
    </w:p>
    <w:p>
      <w:r>
        <w:t>- 8/10 - A/2501/2014</w:t>
      </w:r>
    </w:p>
    <w:p>
      <w:r>
        <w:t>d. Au terme d’une appréciation de l’ensemble des circonstances, la chambre administrative, à l’instar du TAPI et de l’OCPM, parvient à la conclusion que la situation du recourant, envisagée dans sa globalité, n’est pas constitutive d’une situation d’extrême gravité ou d’un cas de rigueur au sens de l’art. 30 al. 1 let. b LEtr. C’est donc à juste titre que l’autorité cantonale a refusé d’admettre un préavis favorable et de transmettre le dossier à l’autorité fédérale. 6)</w:t>
      </w:r>
    </w:p>
    <w:p>
      <w:r>
        <w:t>Dès lors que le recourant ne détient pas d’autorisation de séjour en Suisse, son renvoi devait être prononcé, en application de l’art. 64 al. 1et. c LEtr. L’intéressé ne démontre pas d’obstacles déterminants à son retour au Kosovo. Rien n’indique que l’exécution de ce renvoi serait impossible, illicite ou inexigible au sens de l’art. 83 LEtr. 7)</w:t>
      </w:r>
    </w:p>
    <w:p>
      <w:r>
        <w:t>Au vu de ce qui précède, tant la décision initiale de l’OCPM que le jugement du TAPI sont conformes au droit, et le recours sera rejeté.</w:t>
      </w:r>
    </w:p>
    <w:p>
      <w:r>
        <w:t>Un émolument de CHF 400.- sera mis à charge du recourant, qui succombe (art. 87 al. 1 LPA). Aucune indemnité de procédure ne lui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