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ATA/812/2024 vom 9. Juli 2024</w:t>
      </w:r>
    </w:p>
    <w:p>
      <w:r>
        <w:t>GE Cour de justice, 2024-07-09, FR</w:t>
      </w:r>
    </w:p>
    <w:p>
      <w:r>
        <w:rPr>
          <w:b/>
        </w:rPr>
        <w:t xml:space="preserve">Quelle: </w:t>
      </w:r>
      <w:r>
        <w:t>https://mcp.opencaselaw.ch/entscheid/ge_gerichte_ATA_812_2024</w:t>
      </w:r>
    </w:p>
    <w:p>
      <w:r>
        <w:t>FR: GE_GERICHTE ATA/812/2024 du 9 juillet 2024</w:t>
      </w:r>
    </w:p>
    <w:p>
      <w:r>
        <w:t>IT: GE_GERICHTE ATA/812/2024 del 9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- 9/16 - A/1344/2023 2. Le litige porte sur la décision de refus d’octroi de l’autorisation de séjour en faveur du recourant et prononçant son renvoi de Suisse sans délai. 2.1 Le 1er janvier 2019 est entrée en vigueur une modification de la LEtr, devenue la LEI, et de l’ordonnance relative à l’admission, au séjour et à l’exercice d’une activité lucrative du 24 octobre 2007 (OASA - RS 142.201). Conformément à l’art. 126 al. 1 LEI, les demandes déposées, comme en l’espèce, avant le 1er janvier 2019 sont régies par l’ancien droit.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des Philippines. 2.2 Selon l’ancien art. 30 al. 1 let. b LEI (dont la teneur correspond à celle de l’actuel art. 30 al. 1 let. b LEI), il est possible de déroger aux conditions d’admission (art. 18 à 29) dans le but de tenir compte des cas individuels d’une extrême gravité ou d’intérêts publics majeurs. Conformément à l’art. 31 al. 1 OASA (dans sa teneur en vigueur jusqu’au 31 décembre 2018),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2.3 Ces critères, qui doivent impérativement être respectés, ne sont toutefois pas exhaustifs, d’autres éléments pouvant également entrer en considération, comme les circonstances concrètes ayant amené un étranger à séjourner illégalement en Suisse (ATA/1087/2022 du 1er novembre 2022 consid. 11a ; ATA/1669/2019 du 12 novembre 2019 consid. 7b).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 2.4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w:t>
      </w:r>
    </w:p>
    <w:p>
      <w:r>
        <w:t>- 10/16 - A/1344/2023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ATA/16/2024 précité consid. 3.3).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138 II 229 consid. 3.1 ; arrêt du Tribunal fédéral 2C_250/2022 du 11 juillet 2023 consid. 6.2). 2.5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et 2A.543/2001 du 25 avril 2002 consid. 5.2 ; ATAF F-1734/2019 du 23 mars 2020 consid. 8.5 et les références citées).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w:t>
      </w:r>
    </w:p>
    <w:p>
      <w:r>
        <w:t>- 11/16 - A/1344/2023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jurisprudence requiert, de manière générale, une très longue durée de séjour en Suisse, soit une période de sept à huit ans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ATF 134 II 10 consid. 4.3 ; arrêts du Tribunal fédéral 2C_603/2019 du 16 décembre 2019 consid. 6.2 ; 2C_436/2018 du</w:t>
      </w:r>
    </w:p>
    <w:p>
      <w:r>
        <w:rPr>
          <w:b/>
        </w:rPr>
        <w:t>E. 8</w:t>
      </w:r>
    </w:p>
    <w:p>
      <w:r>
        <w:t>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 2.6 En l’espèce, il n’est pas remis en cause que le recourant séjourne en Suisse depuis le mois de janvier 2013. De 2013 à 2017, ce séjour s’est déroulé au bénéfice d’une autorisation de séjour pour études, limitée tant dans sa durée que dans sa finalité, toutes deux achevées à la fin de l’année 2017. Après l’expiration de cette autorisation à la fin de l’année 2017 jusqu’au prononcé de la décision du 14 avril 2023, le recourant a continué à séjourner en Suisse au bénéfice d’une tolérance, pendant l’examen de sa demande de prolongation de son autorisation. Bien qu’un peu plus de dix ans se soient ainsi écoulés entre son arrivée en Suisse et la décision de refus d’autorisation et de renvoi, le recourant ne peut dès lors se prévaloir d’un séjour régulier et légal d’une durée de dix ans. Il convient donc d’examiner s’il entretient en Suisse des relations privées de nature professionnelle ou sociale particulièrement intenses, allant au-delà d’une intégration normale. 2.7 Il résulte du dossier que, depuis le mois de février 2020, le recourant ne dispose plus d’un logement fixe et dépend pour l’essentiel, pour son hébergement et pour</w:t>
      </w:r>
    </w:p>
    <w:p>
      <w:r>
        <w:t>- 12/16 - A/1344/2023 la satisfaction de ses besoins essentiels, d’organisations caritatives. Bien qu’il ait été autorisé à exercer une activité lucrative dès l’année 2019, il n’allègue pas avoir occupé depuis cette date un emploi fixe pour une certaine durée. Il a accumulé pendant son séjour en Suisse des dettes importantes et perçoit depuis quelques mois des prestations d’aide sociale. Loin d’être exceptionnelle, son intégration économique et professionnelle doit donc être qualifiée de médiocre. Il a certes acquis une bonne maîtrise de la langue française, au terme notamment de deux ans de cours intensifs. Il allègue maîtriser également les autres langues nationales mais ne produit aucun justificatif sur ce point. Les liens sociaux qu’il indique avoir construits l’ont été avec des travailleurs sociaux et des employés des services d’urgence, pendant la période postérieure à la perte de son logement : il s’agit donc de relations d’un nombre et d’une intensité normaux pour quelqu’un se trouvant, comme il l’a été, en contact quotidien avec ces personnes. Le fait qu’il ait utilisé les transports publics, qu’il ait passé du temps dans les églises et les bibliothèques publiques et ait fréquenté une salle de sport ne permet pas non plus de retenir une intégration sociale excédant celle pouvant être attendue d’une personne résidant en Suisse pendant une période de plusieurs années. Il n’apparaît en outre pas qu’il se soit investi d’une quelconque manière dans la vie associative ou culturelle genevoise durant son séjour. Il n’est pas contesté que le recourant a obtenu un doctorat lors de son séjour en Suisse, raison pour laquelle il était venu, au bénéfice d’une autorisation de durée limitée. Ces études ne sont pas de nature à créer un tel lien avec la Suisse qu’il ne pourrait être exigé de sa part de mettre en œuvre ses connaissances dans son pays d’origine. Le recourant ne peut donc se prévaloir d’une intégration supérieure à l’ordinaire. 2.8 Arrivé en Suisse à l’âge de 41 ans, le recourant a passé son enfance, son adolescence et la majeure partie de sa vie d’adulte aux Philippines. Il connaît ainsi les us et coutumes de son pays et en parle la langue. Sa famille s’y trouve encore, alors qu’il n’a aucun lien avec la Suisse, si ce n’est qu’il y a fait une partie de ses études. Il est par ailleurs en bonne santé. Ainsi, si le recourant se heurtera sans doute à des difficultés de réadaptation dans son pays d’origine, il ne démontre pas que celles-ci seraient plus graves pour lui que pour n’importe lequel de ses concitoyens qui se trouverait dans une situation similaire. Il pourra du reste y mettre à profit l’expérience acquise durant ses études et les connaissances de la langue française obtenues durant son séjour en Suisse. 2.9 À juste titre, le recourant relève la longueur excessive (quatre ans et demi) de l’examen par l’OCPM de la requête de prolongation d’autorisation de séjour qu’il a déposée en octobre 2017. Un tel retard était plutôt de nature à le favoriser, lui permettant de demeurer en Suisse au bénéfice d’une tolérance et lui donnant par là l’occasion de s’y intégrer. En toute hypothèse, un long délai de traitement et une violation du principe de célérité ne peuvent pas conduire à la délivrance d’une</w:t>
      </w:r>
    </w:p>
    <w:p>
      <w:r>
        <w:t>- 13/16 - A/1344/2023 autorisation de séjour (arrêt du Tribunal fédéral 2C_529/2020 du 6 octobre 2020 consid. 5.1). À cela s’ajoute que le principe de la bonne foi impose au justiciable d’entreprendre ce qui est en son pouvoir pour que l’autorité fasse diligence, que ce soit en l’invitant à accélérer la procédure ou en recourant, le cas échéant, pour retard injustifié, car il serait contraire audit principe qu’il puisse valablement soulever ce grief devant l’autorité de recours alors qu’il n’a entrepris aucune démarche devant l’autorité afin de remédier à un manque de célérité (arrêt du Tribunal fédéral 2C_477/2020 consid. 3.1 ; ATA/762/2024 du 25 juin 2024 consid. 3.1). Or, le recourant n’a en l’occurrence ni mis en demeure l’OCPM de statuer sur sa demande ni recouru pour déni de justice, de telle sorte qu’il ne saurait tirer argument d’une violation du principe de célérité. 3. Le recourant se plaint d’une violation de l’art. 8 CEDH. 3.1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 L’examen de la proportionnalité de la mesure, imposé par l’art. 96 LEI, se confond avec celui qui est prévu à l’art. 8 § 2 CEDH (ATF 139 I 31 consid. 2.3.2 ; 139 I 145 consid. 2.2). 3.2 En l’espèce, tel que cela ressort de l’examen des dispositions fédérales, le recourant ne peut se prévaloir d’une intégration exceptionnelle. Les années passées en Suisse après 2017 l’ont été au titre d’une simple tolérance, de sorte que le recourant ne saurait s’en prévaloir. De plus, bien qu’il ait été autorisé à chercher un emploi, il n’a pas démontré avoir concrètement effectué des recherches ni tenté de s’intégrer dans la vie genevoise. Il a au contraire accumulé des dettes en ne payant pas son loyer et ses primes d’assurance-maladie et bénéficie depuis peu de l’aide sociale. Ce grief doit dès lors également être rejeté. Au vu de l’ensemble de ces éléments, l’OCPM n’a pas violé le droit ni abusé de son pouvoir d’appréciation en retenant que le recourant ne remplissait pas les conditions restrictives permettant l’octroi d’une autorisation de séjour pour cas de rigueur.</w:t>
      </w:r>
    </w:p>
    <w:p>
      <w:r>
        <w:t>- 14/16 - A/1344/2023 4. Il convient encore d’examiner si le renvoi est fondé. 4.1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4.2 En l’espèce, dès lors qu’il a, à juste titre, refusé l’octroi d’une autorisation de séjour au recourant, l’intimé devait prononcer son renvoi. Entièrement mal fondé, le recours sera rejeté. 5. Vu l’issue du litige, un émolument de CHF 400.- sera mis à la charge de A______,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