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ATA/811/2016 vom 27. September 2016</w:t>
      </w:r>
    </w:p>
    <w:p>
      <w:r>
        <w:t>GE Cour de justice, 2016-09-27, FR</w:t>
      </w:r>
    </w:p>
    <w:p>
      <w:r>
        <w:rPr>
          <w:b/>
        </w:rPr>
        <w:t xml:space="preserve">Quelle: </w:t>
      </w:r>
      <w:r>
        <w:t>https://mcp.opencaselaw.ch/entscheid/ge_gerichte_ATA_811_2016</w:t>
      </w:r>
    </w:p>
    <w:p>
      <w:r>
        <w:t>FR: GE_GERICHTE ATA/811/2016 du 27 septembre 2016</w:t>
      </w:r>
    </w:p>
    <w:p>
      <w:r>
        <w:t>IT: GE_GERICHTE ATA/811/2016 del 27 settembre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Interjeté en temps utile devant la juridiction compétente, le recours est recevable (art. 132 de la loi sur l'organisation judiciaire du 26 septembre 2010 - LOJ - E 2 05 ; art. 62 al. 1 let. a de la loi sur la procédure administrative du 12 septembre 1985 - LPA - E 5 10).</w:t>
      </w:r>
    </w:p>
    <w:p>
      <w:r>
        <w:rPr>
          <w:b/>
        </w:rPr>
        <w:t>E. 2</w:t>
      </w:r>
    </w:p>
    <w:p>
      <w:r>
        <w:t>a. Selon l’art. 86 LPA, la juridiction saisie invite le recourant à payer une avance de frais destinée à couvrir les frais et émoluments de procédure présumables. À cette fin, elle lui fixe un délai suffisant (al. 1). Si l’avance de frais n’est pas faite dans le délai imparti, la juridiction déclare le recours irrecevable (al. 2).</w:t>
      </w:r>
    </w:p>
    <w:p>
      <w:r>
        <w:t>b. L'exigence de l'avance de frais et les conséquences juridiques en cas de non-paiement relèvent du droit de procédure cantonal. Par conséquent, les cantons sont libres, dans le respect des garanties constitutionnelles, d'organiser cette</w:t>
      </w:r>
    </w:p>
    <w:p>
      <w:r>
        <w:t>- 3/4 - A/2068/2016 matière à leur guise (arrêt du Tribunal fédéral 2C_1022/2012 du 25 mars 2013 consid. 5.1 ; ATA/916/2015 du 8 septembre 2015 consid. 2a et la jurisprudence citée). Elles peuvent donc opter pour une communication des délais de paiement par pli recommandé (ATA/916/2015 précité consid. 2b et jurisprudence citée).</w:t>
      </w:r>
    </w:p>
    <w:p>
      <w:r>
        <w:rPr>
          <w:b/>
        </w:rPr>
        <w:t>E. 3</w:t>
      </w:r>
    </w:p>
    <w:p>
      <w:r>
        <w:t>À rigueur de texte, l'art. 86 LPA ne laisse aucune place à des circonstances extraordinaires qui justifieraient que l’avance de frais n’intervienne pas dans le délai imparti. La référence au « délai suffisant » de l’al. 1 de cette disposition laisse une certaine marge d’appréciation à l’autorité judiciaire saisie (ATA/916/2015 précité consid 2c ; ATA/881/2010 du 14 décembre 2010 consid. 4a). En outre, selon la jurisprudence, il convient d’appliquer par analogie la notion de cas de force majeure de l’art. 16 al. 1 LPA, afin d’examiner si l’intéressé a été empêché sans sa faute de verser l’avance de frais dans le délai fixé (ATA/916/2015 précité consid. 2c et la jurisprudence citée). Tombent sous cette notion les événements extraordinaires et imprévisibles qui surviennent en dehors de la sphère d’activité de l’intéressé et qui s’imposent à lui de façon irrésistible (ATA/916/2015 précité consid 2c ; ATA/378/2014 précité consid. 3d ; ATA/515/2009 du 13 octobre 2009 consid. 4b ; ATA/40/1998 du 27 janvier 1998 consid. 3a).</w:t>
      </w:r>
    </w:p>
    <w:p>
      <w:r>
        <w:t>En l’occurrence, la recourante a fourni toutes les pièces utiles permettant de constater que le non-paiement de l’avance de frais ne lui est pas imputable, mais qu’elle est due à une erreur des services postaux qui l’ont reconnue. Dans ces circonstances, il y a lieu d’annuler le jugement du TAPI et de retourner la cause à ce dernier pour qu’il traite le recours, sous réserve de la réalisation des autres conditions de recevabilité de ce dernier.</w:t>
      </w:r>
    </w:p>
    <w:p>
      <w:r>
        <w:rPr>
          <w:b/>
        </w:rPr>
        <w:t>E. 4</w:t>
      </w:r>
    </w:p>
    <w:p>
      <w:r>
        <w:t>Vu l’issue du recours, aucun émolument ne sera prélevé ; de même, aucune indemnité de procédure ne sera allouée.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