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ATA/811/2014 vom 28. Oktober 2014</w:t>
      </w:r>
    </w:p>
    <w:p>
      <w:r>
        <w:t>GE Cour de justice, 2014-10-28, FR</w:t>
      </w:r>
    </w:p>
    <w:p>
      <w:r>
        <w:rPr>
          <w:b/>
        </w:rPr>
        <w:t xml:space="preserve">Quelle: </w:t>
      </w:r>
      <w:r>
        <w:t>https://mcp.opencaselaw.ch/entscheid/ge_gerichte_ATA_811_2014</w:t>
      </w:r>
    </w:p>
    <w:p>
      <w:r>
        <w:t>FR: GE_GERICHTE ATA/811/2014 du 28 octobre 2014</w:t>
      </w:r>
    </w:p>
    <w:p>
      <w:r>
        <w:t>IT: GE_GERICHTE ATA/811/2014 del 28 ottobre 2014</w:t>
      </w:r>
    </w:p>
    <w:p>
      <w:pPr>
        <w:pStyle w:val="Heading2"/>
      </w:pPr>
      <w:r>
        <w:t>Erwägungen</w:t>
      </w:r>
    </w:p>
    <w:p>
      <w:r>
        <w:rPr>
          <w:b/>
        </w:rPr>
        <w:t>E. 4</w:t>
      </w:r>
    </w:p>
    <w:p>
      <w:r>
        <w:t>décembre 1997 (LPAC - B 5 05) ainsi qu’au statut du personnel des HUG. Pendant le temps d’essai, d’une durée de trois mois au plus, le délai de résiliation est de quinze jours pour la fin d’une semaine. Après le temps d’essai et pendant la 1ère année d’activité, le délai de résiliation est d’un mois pour la fin d’un mois (art 20 al. 1 et 2 LPAC). Pendant le temps d'essai et la période probatoire, chacune des parties peut mettre fin aux rapports de service; le membre du personnel n'ayant pas qualité de fonctionnaire est entendu par l'autorité compétente; il peut demander que le motif de résiliation lui soit communiqué (art. 21 al. 1 LPAC).</w:t>
      </w:r>
    </w:p>
    <w:p>
      <w:r>
        <w:t>Peut recourir à la chambre administrative pour violation de la loi tout membre du personnel dont les rapports de service ont été résiliés. Si la chambre administrative retient que la résiliation des rapports de service est contraire au droit, elle peut proposer à l’autorité compétente la réintégration. En cas de décision négative de l'autorité compétente, la chambre administrative fixe une indemnité dont le montant ne peut être inférieur à un mois et supérieur à vingt-quatre mois du dernier traitement brut à l'exclusion de tout autre élément de rémunération; concernant un employé, l'indemnité ne peut être supérieure à six mois (art 31 LPAC).</w:t>
      </w:r>
    </w:p>
    <w:p>
      <w:r>
        <w:t>La chambre de céans ne peut ainsi pas imposer la réintégration d’un employé public des HUG dont les rapports de service ont été résiliés.</w:t>
      </w:r>
    </w:p>
    <w:p>
      <w:r>
        <w:t>Le recours à la chambre administrative contre une décision de licenciement s’instruit dans les formes prévues par la loi sur la procédure administrative, du 12 septembre 1985 (art. 32 al. 6 LPAC). 5)</w:t>
      </w:r>
    </w:p>
    <w:p>
      <w:r>
        <w:t>En l’espèce, s’il était fait droit à la demande de restitution de l’effet suspensif de la recourante, la chambre de céans rendrait une décision allant au-delà des compétences qui sont les siennes sur le fond, de sorte qu’il n’y a pas lieu de procéder en l’espèce à une pesée des intérêts en présence (ATA/263/2013 du 26 avril 2013 ; ATA/107/2012 du 22 février 2012 ; ATA/92/2012 du 17 février 2012). 6)</w:t>
      </w:r>
    </w:p>
    <w:p>
      <w:r>
        <w:t>La demande de restitution de l’effet suspensif sera ainsi rejetée pour autant qu’elle soit recevable, le sort des frais de la cause étant réservé jusqu’à droit jugé au fond.</w:t>
      </w:r>
    </w:p>
    <w:p>
      <w:r>
        <w:t>- 5/5 - A/3064/2014</w:t>
      </w:r>
    </w:p>
    <w:p>
      <w:r>
        <w:t>vu l’art. 66 al. 2 de la loi sur la procédure administrative du 12 septembre 1985 ;</w:t>
      </w:r>
    </w:p>
    <w:p>
      <w:r>
        <w:t>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André Malek-Asghar, avocat de la recourante ainsi qu'à Me Pierre Martin-Achard, avocat des Hôpitaux universitaires de Genève (HUG).</w:t>
      </w:r>
    </w:p>
    <w:p>
      <w:r>
        <w:t>Le vice-président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