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ATA/80/2024 vom 23. Januar 2024</w:t>
      </w:r>
    </w:p>
    <w:p>
      <w:r>
        <w:t>GE Cour de justice, 2024-01-23, FR</w:t>
      </w:r>
    </w:p>
    <w:p>
      <w:r>
        <w:rPr>
          <w:b/>
        </w:rPr>
        <w:t xml:space="preserve">Quelle: </w:t>
      </w:r>
      <w:r>
        <w:t>https://mcp.opencaselaw.ch/entscheid/ge_gerichte_ATA_80_2024</w:t>
      </w:r>
    </w:p>
    <w:p>
      <w:r>
        <w:t>FR: GE_GERICHTE ATA/80/2024 du 23 janvier 2024</w:t>
      </w:r>
    </w:p>
    <w:p>
      <w:r>
        <w:t>IT: GE_GERICHTE ATA/80/2024 del 23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se plaint d’une violation de son droit d’être entendue et d’une appréciation manifestement insoutenable des preuves.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 2.2 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 arrêts du Tribunal fédéral 2C_934/2022 du 22 mars 2023 consid. 4.1 ; 2C_954/2020 du 26 juillet 2021 consid. 4.1 ; Thierry TANQUEREL, Manuel de droit administratif, 2e éd., 2018, p. 531 n. 1573).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2C_458/2020 du 6 octobre 2020 consid. 4.1 ; ATA/936/2021 du 14 septembre 2021 consid. 5b et les références citées). 2.3 La violation du droit d’être entendu doit en principe entraîner l’annulation de la décision attaquée, indépendamment des chances du recourant sur le fond (ATF 144 I 11 consid. 5.3 ; arrêt du Tribunal fédéral 1C_69/2022 du 8 mars 2022 consid. 2.3 ; ATA/949/2021 du 14 septembre 2021 consid. 5b). Une réparation devant l’instance de recours est possible si celle-ci jouit du même pouvoir d’examen que l’autorité intimée (ATF 145 I 167 consid. 4.4 ; arrêt du Tribunal</w:t>
      </w:r>
    </w:p>
    <w:p>
      <w:r>
        <w:t>- 11/15 - A/3534/2022 fédéral 1C_31/2021 du 16 juillet 2021 consid. 2.1 ; ATA/949/2021 précité consid. 5b). La réparation dépend cependant de la gravité et de l’étendue de l’atteinte portée au droit d’être entendu et doit rester l’exception (ATF 142 II 218 consid. 2.8.1 ; arrêt du Tribunal fédéral 1C_617/2019 du 27 mai 2020 consid. 3.1 ; ATA/949/2021 précité consid. 5b). Elle peut se justifier en présence d’un vice grave notamment lorsque le renvoi constituerait une vaine formalité et aboutirait à un allongement inutile de la procédure (ATF 142 II 218 consid. 2.8.1 ; arrêt du Tribunal fédéral 1C_31/2021 du 16 juillet 2021 consid. 2.1 ; ATA/949/2021 précité consid. 5b).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(ATA/949/2021 précité consid. 5b et les références citées). 2.4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2.5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2.6 En l’espèce, le TAPI a considéré que la recourante, qui supportait le fardeau de la preuve, n’avait apporté aucun élément venant contredire le constat, réalisé par un inspecteur du département assermenté, selon lequel elle avait monté l’échafaudage. L’inspecteur a indiqué avoir été avisé de l’échafaudage par la fille de la propriétaire, s’être rendu sur place le 22 août 2022 et n’avoir trouvé personne (ni ouvriers ni propriétaires) et avoir appris d’F______ que c’était la recourante qui avait installé l’échafaudage. Il a ajouté que la fille de la propriétaire lui avait parlé, dans deux messages, de la recourante, qu’il ignorait comment elle avait eu son nom, et qu’elle lui avait toujours parlé de E______ comme interlocuteur pour le chantier. Il n’avait pas eu de contact avec la propriétaire. Il ressort de ce qui précède que l’inspecteur s’est fondé sur les seules déclarations de E______ ou d’F______ et n’a notamment pas vu la recourante monter l’échafaudage.</w:t>
      </w:r>
    </w:p>
    <w:p>
      <w:r>
        <w:t>- 12/15 - A/3534/2022 Le TAPI a considéré que la quittance du 2 août 2022 produite par la recourante ne constituait pas un contrat, n’établissait pas la location de l’échafaudage par la recourante et n’excluait quoi qu’il en soit pas le montage par celle-ci. Or, la quittance contient les éléments essentiels (parties, prestations, durée) du contrat et constitue bien une preuve de l’existence d’un bail portant sur un échafaudage léger. La durée correspond à celle prévue pour les travaux dans le cas d’espèce. La référence aux travaux de peinture peut être comprise comme une précision ou une exemplification des travaux permis par la résistance (2 kN/m2) de l’installation. Le bailleur est bien la recourante. La désignation comme locataire de H______, ne correspond pas, il est vrai, à E______, entreprise chargée des travaux. F______ a toutefois admis connaître « I______ » et que celui-ci avait « donné un coup de main sur le chantier ». Il a également affirmé que la répercussion du coût de l’échafaudage sur d’autres postes de ses factures à la propriétaire avait été discuté avec « I______ ». Le TAPI ne pouvait ainsi priver la quittance de tout effet probant pour l’issue du litige. Il aurait dû retenir qu’elle constituait à tout le moins une preuve de la location par la recourante de l’échafaudage, que la mention de H______ pouvait s’expliquer par la qualité de sous-traitant de F______ de celui-ci, et que la signature avait pu être apposée par n’importe quel ouvrier présent sur le chantier. Priver la pièce de toute portée ne permettait par ailleurs pas de conclure que la recourante aurait quoi qu’il en soit pu monter l’échafaudage. Le TAPI s’est fondé sur le témoignage d’F______, qui a affirmé que l’échafaudage avait été monté par le recourante. Celui-ci a affirmé être en contact avec « L______ » et lui avoir remis CHF 3'000.- à 3'200.- en espèces une fois l’échafaudage posé, et ce sans aucune documentation. Il a également expliqué avoir dû répercuter le coût de l’échafaudage sur d’autres postes de ses factures à la propriétaire, faute de pouvoir le documenter. Cette explication apparaît particulièrement peu vraisemblable, et dès lors que les autres postes n’auraient en telle hypothèse plus correspondu aux justificatifs qui leur correspondaient, ce que le TAPI a d’ailleurs observé durant l’audience, mais sans en tirer de conclusion quant à la crédibilité du témoignage. Or, vu par ailleurs le poids qui aurait dû être accordé à la quittance, le témoignage d’F______ aurait dû être apprécié avec circonspection. Le TAPI a estimé que J______, associé gérant de la recourante, avait reconnu à la fin de son audition que celle-ci avait installé le chantier. Or, ce dernier a été constant dans ses déclarations et indiqué : qu’il avait loué l’échafaudage, que son entreprise n’était intervenue que pour son démontage et son évacuation à la demande de la fille de la propriétaire et qu’elle ne s’était pas du tout occupée du montage ; qu’il avait pensé contracter avec I______ ; qu’il ne connaissait pas F______ ; que son employé K______ avait eu un contact avec la fille de la propriétaire ; qu’il avait lui-même signé la quittance du 2 août 2022 mais ignorait l’identité de son interlocuteur, qui lui avait dit être de l’entreprise H______ ; que</w:t>
      </w:r>
    </w:p>
    <w:p>
      <w:r>
        <w:t>- 13/15 - A/3534/2022 le prix était de CHF 1'800.- et non CHF 3'000.- à 3'200.-. À la fin de sa troisième intervention dans le procès-verbal, il a indiqué : « Je n’ai pas demandé la pièce d’identité de la personne qui m’a remis l’argent. On signe la quittance, on a monté l’échafaudage et ensuite j’ai reçu l’argent. Je reviens sur mes mots : c’est moi qui ai encaissé l’argent en même temps que la signature de cette quittance. J’ignore si c’était avant ou après que l’échafaudage a été installé. En général, c’est ce que toute entreprise ferait, on demande d’être payé avant de faire quoi que ce soit ». Il ne peut être inféré avec certitude de cette séquence que J______ aurait admis avoir monté l’échafaudage. Ses explications finales peuvent aussi bien être comprises comme la description générale de l’exécution immédiate synallagmatique en usage sur les chantiers. L’emploi du sujet indéfini « on » ne permet pas dans le contexte d’inférer que c’est son entreprise qui aurait en l’espèce monté l’échafaudage. Le TAPI a considéré que les montants figurant sur les pièces ne correspondaient pas à la réalité et que la recourante s’était contredite au sujet du paiement de la location de l’échafaudage. En réalité il a relevé une contradiction entre la quittance et les déclarations de J______ d’une part et les déclarations d’F______. Or, il a été vu que ces dernières doivent être accueillies avec circonspection en l’absence de toute documentation et compte tenu des explications fournies sur leur répercussion auprès du maître de l’ouvrage. La recourante a en outre produit devant le TAPI un exemple de facture portant sur la fourniture et la pose d’un échafaudage de même résistance pour une durée d’un mois pour un autre client et au prix de CHF 4'250.-. Le TAPI a enfin refusé d’entendre la propriétaire et sa fille, dont la recourante avait demandé l’audition dans son recours du 9 novembre 2022, ses écritures du 24 janvier 2023 et lors de l’audience du 4 mai 2023, afin d’établir que la première n’avait jamais eu de contact avec elle, vérifier ce que la seconde avait rapporté à l’inspecteur du département et indiquer qui était présent lors du montage de l’échafaudage. Il a estimé que le seul témoin direct de l’affaire était K______, dont la recourante n’avait pas sollicité l’audition. Or, il ne pouvait être exclu que d’autres personnes que celui-ci aient été présentes lors du montage de l’échafaudage. La recourante avait notamment proposé d’entendre la propriétaire sur ce point. Devant la chambre de céans, la recourante a produit deux déclarations détaillées, de la propriétaire et de sa fille. Celles-ci indiquent notamment que la propriétaire n’aurait été en contact qu’avec l’entreprise F______ et ses employés – lesquels auraient pris l’initiative des travaux et ses seraient montrés particulièrement entreprenants – et qu’elle aurait assisté au montage de l’échafaudage par ceux-ci. Sa fille aurait pris contact avec l’inspecteur et K______ à son retour de vacances. La recourante a par ailleurs produit le passeport d’K______, dont il ressort qu’il n’aurait pu être en Suisse du 8 juillet au</w:t>
      </w:r>
    </w:p>
    <w:p>
      <w:r>
        <w:rPr>
          <w:b/>
        </w:rPr>
        <w:t>E. 8</w:t>
      </w:r>
    </w:p>
    <w:p>
      <w:r>
        <w:t>août 2022, ce qui ne contredirait pas les indications de la fille de la propriétaire. Il apparaît ainsi que la propriétaire et sa fille seraient en mesure d’apporter un</w:t>
      </w:r>
    </w:p>
    <w:p>
      <w:r>
        <w:t>- 14/15 - A/3534/2022 témoignage direct sur un élément décisif pour la solution du litige, soit déterminer qui avait monté l’échafaudage. Le jugement a ainsi violé le droit d’être entendue de la recourante et le TAPI a commis un abus de son pouvoir d’appréciation dans la portée qu’il a accordé aux preuves. Le recours sera admis, le jugement annulé et la cause renvoyée au TAPI afin qu’il entende D______ et M______ – ainsi que, le cas échéant, K______, afin de déterminer pour ce dernier s’il était en Suisse lors du montage de l’échafaudage, s’il était la personne désignée comme « L______ » par F______ et si dernier lui a bien remis CHF 3'000.- à 3'200.- en espèces une fois l’échafaudage posé. 3. Vu l’issue du litige, il ne sera pas perçu d’émolument. Une indemnité de procédure de CHF 1'000.-, à la charge de l’État de Genève, sera allouée à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