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ATA/80/2020 vom 28. Januar 2020</w:t>
      </w:r>
    </w:p>
    <w:p>
      <w:r>
        <w:t>GE Cour de justice, 2020-01-28, FR</w:t>
      </w:r>
    </w:p>
    <w:p>
      <w:r>
        <w:rPr>
          <w:b/>
        </w:rPr>
        <w:t xml:space="preserve">Quelle: </w:t>
      </w:r>
      <w:r>
        <w:t>https://mcp.opencaselaw.ch/entscheid/ge_gerichte_ATA_80_2020</w:t>
      </w:r>
    </w:p>
    <w:p>
      <w:r>
        <w:t>FR: GE_GERICHTE ATA/80/2020 du 28 janvier 2020</w:t>
      </w:r>
    </w:p>
    <w:p>
      <w:r>
        <w:t>IT: GE_GERICHTE ATA/80/2020 del 28 gennaio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demande une nouvelle audition du témoin G______. a. Tel qu’il est garanti par l’article 29 al. 2 de la Constitution fédérale de la Confédération suisse du 18 avril 1999 (Cst. - RS 101), le droit d’être entendu</w:t>
      </w:r>
    </w:p>
    <w:p>
      <w:r>
        <w:t>- 8/12 - A/891/2019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En l’espèce, M. G______ a été entendu de manière contradictoire, et toutes les questions pertinentes pour l’issue du litige ont pu lui être posées. M. G______ avait pour fonction d’accueillir la recourante dans son cours, et il a indiqué qu’il n’était pas compétent pour juger les qualités didactiques d’un enseignement. Il apparaît dans ces circonstances qu’une réaudition de M. G______ ne serait pas de nature à apporter d’éléments supplémentaires utiles, et la requête de réaudition formée par la recourante sera rejetée.</w:t>
      </w:r>
    </w:p>
    <w:p>
      <w:r>
        <w:rPr>
          <w:b/>
        </w:rPr>
        <w:t>E. 3</w:t>
      </w:r>
    </w:p>
    <w:p>
      <w:r>
        <w:t>À titre préalable, il convient de définir le droit applicable au présent litige.</w:t>
      </w:r>
    </w:p>
    <w:p>
      <w:r>
        <w:t>Le règlement 2017 de la formation des enseignants du secondaire (RE-FORENSEC 2017) est entré en vigueur avec effet au 18 septembre 2017, à l’exception de ses art. 7, 20, 27 et 36, entrés en vigueur avec effet au 1er mars 2017 (art. 44 ch. 1 RE-FORENSEC 2017). Il s’applique aux étudiants entrant en formation en septembre 2017 (art. 44 ch. 2 RE-FORENSEC 2017).</w:t>
      </w:r>
    </w:p>
    <w:p>
      <w:r>
        <w:rPr>
          <w:b/>
        </w:rPr>
        <w:t>E. 4</w:t>
      </w:r>
    </w:p>
    <w:p>
      <w:r>
        <w:t>Le recours peut être formé pour violation du droit, y compris l’excès et l’abus du pouvoir d’appréciation, ainsi que pour constatation inexacte ou incomplète des faits pertinents (art. 61 al. 1 LPA).</w:t>
      </w:r>
    </w:p>
    <w:p>
      <w:r>
        <w:rPr>
          <w:b/>
        </w:rPr>
        <w:t>E. 5</w:t>
      </w:r>
    </w:p>
    <w:p>
      <w:r>
        <w:t>L’étudiant ayant quitté les études au sein de la FORENSEC sans avoir été éliminé peut être réadmis sous certaines conditions déterminées par le Directeur de l’IUFE s’il en fait la demande, sur préavis du comité de programme ».</w:t>
      </w:r>
    </w:p>
    <w:p>
      <w:r>
        <w:rPr>
          <w:b/>
        </w:rPr>
        <w:t>E. 6</w:t>
      </w:r>
    </w:p>
    <w:p>
      <w:r>
        <w:t>Est litigieuse la question de l'évaluation ayant conduit au prononcé de deux échecs de la recourante, en application de l'art. 17 al. 3 let. b RE-FORENSEC. Le fait qu'un de ces échecs suffise à entraîner l'élimination de la formation n'est pas en soi litigieux.</w:t>
      </w:r>
    </w:p>
    <w:p>
      <w:r>
        <w:rPr>
          <w:b/>
        </w:rPr>
        <w:t>E. 7</w:t>
      </w:r>
    </w:p>
    <w:p>
      <w:r>
        <w:t>En matière d'examens, le pouvoir d’examen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(ATA/499/2018 du 22 mai 2018 consid. 2c ; ATA/1372/2017 du 10 octobre 2017 consid. 7a ; ATA/966/2016 du 15 novembre 2016 consid. 2b). La chambre de céans n'annule donc le prononcé attaqué que si l'autorité intimée s'est laissée guider par des motifs sans rapport avec l'examen ou d'une autre manière manifestement insoutenable (ATF 136 I 229 consid. 6.2 ; 131 I 467 consid. 3.1 ; ATA/1372/2017 précité consid. 7b).</w:t>
      </w:r>
    </w:p>
    <w:p>
      <w:r>
        <w:rPr>
          <w:b/>
        </w:rPr>
        <w:t>E. 8</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w:t>
      </w:r>
    </w:p>
    <w:p>
      <w:r>
        <w:rPr>
          <w:b/>
        </w:rPr>
        <w:t>E. 9</w:t>
      </w:r>
    </w:p>
    <w:p>
      <w:r>
        <w:t>En l'espèce, les conditions formelles de l'évaluation de la recourante apparaissent conformes au RE-FORENSEC, et particulier la désignation des examinateurs, la composition de la commission, le fait que les prestations de la</w:t>
      </w:r>
    </w:p>
    <w:p>
      <w:r>
        <w:t>- 10/12 - A/891/2019 recourante ont été évaluées comme celles des autres étudiants nonobstant le régime des mesures compensatoires dont celle-ci bénéficiait.</w:t>
      </w:r>
    </w:p>
    <w:p>
      <w:r>
        <w:rPr>
          <w:b/>
        </w:rPr>
        <w:t>E. 10</w:t>
      </w:r>
    </w:p>
    <w:p>
      <w:r>
        <w:t>La recourante ne démontre pas que l'évaluation de ses performances serait arbitraire mais oppose aux évaluations de l'IUFE sa propre appréciation de son travail.</w:t>
      </w:r>
    </w:p>
    <w:p>
      <w:r>
        <w:t>L'examen des procès-verbaux établis par les évaluateurs montre que le matériel didactique élaboré par la recourante et ses prestations en classe ont été examinés, analysés et évaluées de manière détaillée, sur la base de critères clairs et compréhensibles portés à la connaissance de la recourante. Les prestations de la recourante ont été confrontées aux objectifs de sa formation, auxquels elle avait elle-même souscrit expressément, et qui lui avaient plusieurs fois été rappelés en cours de formation.</w:t>
      </w:r>
    </w:p>
    <w:p>
      <w:r>
        <w:t>L'évaluation de la recourante a été conduite sur un mode formatif et dynamique, et ses modalités ont été adaptées aux besoins de la recourante. La recourante a été associée aux bilans intermédiaires du semestre de rattrapage. Des propositions lui ont été faites à plusieurs reprises dans le cours du semestre, et son attention a été attirée sur les carences de son travail et de ses prestations et sur les objectifs qui restaient à atteindre.</w:t>
      </w:r>
    </w:p>
    <w:p>
      <w:r>
        <w:t>Les insuffisances relevées dans les CROAL successifs (fixation des objectifs, mise en œuvre en classe, évaluation, appareil didactique) ainsi que dans les rapports de synthèse apparaissent significatives s'agissant des compétences attendues d'une enseignante.</w:t>
      </w:r>
    </w:p>
    <w:p>
      <w:r>
        <w:t>Le fait d’inférer du constat de ces insuffisances un décalage majeur entre les enseignements proposés par la recourante et les attentes des formateurs au moment d'établir une évaluation finale n’apparaît pas constitutif d’un excès ou d’un abus du large pouvoir d’appréciation dont dispose l’autorité.</w:t>
      </w:r>
    </w:p>
    <w:p>
      <w:r>
        <w:t>Les appréciations du témoin G______ ne sont pas de nature à remettre en cause l'avis des évaluateurs, dès lors que celui-ci, qui fonctionnait comme maître d’accueil, a expliqué s'être efforcé de soutenir sa stagiaire et a admis pour le surplus ne pas être compétent pour juger les qualités didactiques du travail d'une collègue.</w:t>
      </w:r>
    </w:p>
    <w:p>
      <w:r>
        <w:rPr>
          <w:b/>
        </w:rPr>
        <w:t>E. 11</w:t>
      </w:r>
    </w:p>
    <w:p>
      <w:r>
        <w:t>Il s’ensuit que le recours sera rejeté.</w:t>
      </w:r>
    </w:p>
    <w:p>
      <w:r>
        <w:rPr>
          <w:b/>
        </w:rPr>
        <w:t>E. 12</w:t>
      </w:r>
    </w:p>
    <w:p>
      <w:r>
        <w:t>La recourante plaidant au bénéfice de l’assistance juridique, il ne sera pas perçu d’émolument. Vu l’issue du litige, elle ne peut se voir allouer une indemnité de procédure (art. 87 al. 2 LPA).</w:t>
      </w:r>
    </w:p>
    <w:p>
      <w:r>
        <w:t>* * * * *</w:t>
      </w:r>
    </w:p>
    <w:p>
      <w:r>
        <w:t>- 11/12 - A/891/2019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