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ATA/80/2018 vom 30. Januar 2018</w:t>
      </w:r>
    </w:p>
    <w:p>
      <w:r>
        <w:t>GE Cour de justice, 2018-01-30, FR</w:t>
      </w:r>
    </w:p>
    <w:p>
      <w:r>
        <w:rPr>
          <w:b/>
        </w:rPr>
        <w:t xml:space="preserve">Quelle: </w:t>
      </w:r>
      <w:r>
        <w:t>https://mcp.opencaselaw.ch/entscheid/ge_gerichte_ATA_80_2018</w:t>
      </w:r>
    </w:p>
    <w:p>
      <w:r>
        <w:t>FR: GE_GERICHTE ATA/80/2018 du 30 janvier 2018</w:t>
      </w:r>
    </w:p>
    <w:p>
      <w:r>
        <w:t>IT: GE_GERICHTE ATA/80/2018 del 30 gennaio 2018</w:t>
      </w:r>
    </w:p>
    <w:p>
      <w:pPr>
        <w:pStyle w:val="Heading2"/>
      </w:pPr>
      <w:r>
        <w:t>Regeste</w:t>
      </w:r>
    </w:p>
    <w:p>
      <w:r>
        <w:t>Résumé: Annulation d'une décision de l'OCPM refusant la délivrance d'une autorisation séjour en vue de mariage. Malgré le comportement pénalement répréhensible du recourant qui a concerné la LStup, les circonstances du cas (jeune âge de l'intéressé lors de la commission des infractions, efforts entrepris depuis lors pour s'insérer professionnellement, bonne évolution de son comportement depuis sa sortie de prison, écoulement du temps depuis la commission des dernières infractions, repentir sincère et préjudice pour l'intéressé, sa fiancée et leur fille de 3 ans en cas de refus de l'octroi de l'autorisation de séjour) amènent à considérer que l'intérêt privé du recourant à pouvoir vivre avec sa famille en Suisse l'emporte sur l'intérêt public à son éloignement du territoire helvétique Un avertissement formel est adressé au recourant. Recours admis.</w:t>
      </w:r>
    </w:p>
    <w:p>
      <w:pPr>
        <w:pStyle w:val="Heading2"/>
      </w:pPr>
      <w:r>
        <w:t>Erwägungen</w:t>
      </w:r>
    </w:p>
    <w:p>
      <w:r>
        <w:rPr>
          <w:b/>
        </w:rPr>
        <w:t>E. 12</w:t>
      </w:r>
    </w:p>
    <w:p>
      <w:r>
        <w:t>septembre 1985 - LPA - E 5 10). 2)</w:t>
      </w:r>
    </w:p>
    <w:p>
      <w:r>
        <w:t>Le litige porte sur la conformité au droit de la décision de l’OCPM, confirmée par le TAPI, prononçant le refus de délivrer au recourant une autorisation de séjour en vue du mariage ainsi que son renvoi de Suisse vers la Guinée. 3)</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w:t>
      </w:r>
    </w:p>
    <w:p>
      <w:r>
        <w:t>- 14/25 - A/1634/2016 4) a. Le droit au mariage est garanti par les art. 12 CEDH, 14 de la Constitution fédérale de la Confédération suisse du 18 avril 1999 (Cst. - RS 101) et 22 de la Constitution de la République et canton de Genève du 14 octobre 2012 (Cst-GE - A 2 00).</w:t>
      </w:r>
    </w:p>
    <w:p>
      <w:r>
        <w:t>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w:t>
      </w:r>
    </w:p>
    <w:p>
      <w:r>
        <w:t>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arrêts du Tribunal fédéral 2C_498/2014 du 22 août 2014 consid. 3.2 ; 2C_1170/2013 du 28 juillet</w:t>
      </w:r>
    </w:p>
    <w:p>
      <w:r>
        <w:t>- 15/25 - A/1634/2016 2014 consid. 3.1 ; 2C_997/2012 du 15 mars 2013 consid. 3.1 ; ATA/1014/2014 du</w:t>
      </w:r>
    </w:p>
    <w:p>
      <w:r>
        <w:rPr>
          <w:b/>
        </w:rPr>
        <w:t>E. 16</w:t>
      </w:r>
    </w:p>
    <w:p>
      <w:r>
        <w:t>décembre 2014 consid. 7).</w:t>
      </w:r>
    </w:p>
    <w:p>
      <w:r>
        <w:t>d. La chambre administrative a également déjà confirmé que la délivrance d'une autorisation de séjour en vue de mariage doit s'accompagner, à titre préjudiciel, d'un examen des conditions posées au regroupement familial du futur conjoint (ATA/90/2016 du 2 février 2016 consid. 6a).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Guinée.</w:t>
      </w:r>
    </w:p>
    <w:p>
      <w:r>
        <w:t>b. L'art. 42 al. 1 LEtr prévoit que le conjoint d’un ressortissant suisse ainsi que ses enfants célibataires de moins de 18 ans ont droit à l’octroi d’une autorisation de séjour et à la prolongation de sa durée de validité à condition de vivre en ménage commun avec lui.</w:t>
      </w:r>
    </w:p>
    <w:p>
      <w:r>
        <w:t>En revanche, selon l'art. 51 al. 1 let. b LEtr, les droits prévus à l'art. 42 LEtr s'éteignent s'il existe des motifs de révocation au sens de l'art. 63 LEtr. 6) a. Aux termes de l’art. 63 al. 1 LEtr, l’autorisation d’établissement d’un étranger peut être révoquée notamment si les conditions visées à l'art. 62 al. 1 let. a ou b sont remplies, soit si l'étranger ou son représentant légal a fait de fausses déclarations ou a dissimulé des faits essentiels durant la procédure d'autorisation ou si l'étranger a été condamné à une peine privative de liberté de longue durée ou a fait l'objet d'une mesure pénale prévue aux art. 59 à 61 ou 64 du Code pénal suisse du 21 décembre 1937 (CP - RS 311.0 ; let. a) ;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w:t>
      </w:r>
    </w:p>
    <w:p>
      <w:r>
        <w:t>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c. Il y a atteinte très grave à la sécurité et l'ordre publics au sens de l'art. 63 al. 1 let. b LEtr lorsque, par son comportement, l'étranger a lésé ou menacé des biens juridiques particulièrement importants, tels l'intégrité physique,</w:t>
      </w:r>
    </w:p>
    <w:p>
      <w:r>
        <w:t>- 16/25 - A/1634/2016 psychique ou sexuelle (ATF 139 I 16 consid. 2.1 ; 137 II 297 consid. 3.3  ; arrêt du Tribunal fédéral 2C_200/2013 du 16 juillet 2013 consid. 3.1 ; ATA/384/2016 précité consid. 4b).</w:t>
      </w:r>
    </w:p>
    <w:p>
      <w:r>
        <w:t>Les infractions à la LStup constituent également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 ATA/384/2016 précité consid. 4c). 7)</w:t>
      </w:r>
    </w:p>
    <w:p>
      <w:r>
        <w:t>En l'espèce, M. A______ a été condamné à sept reprises, sur une période de cinq ans, totalisant vingt-huit mois de peine privative de liberté, ainsi que soixante jours-amende. Il est vrai qu'aucune de ces condamnations ne dépasse un an ou ne concerne des biens juridiques tels que l'intégrité physique, psychique ou sexuelle. En revanche, six condamnations concernent des infractions à la LStup et punissent plus particulièrement, pour quatre d'entre elles, la commission d'un crime ou d'un délit. Il ressort ainsi du dossier que le recourant s'est adonné au trafic de différents types de drogues (cocaïne, ecstasy, marijuana), lequel a débuté quelques jours après le dépôt de sa demande d'asile en Suisse en 2011 et a perduré après la naissance de sa fille. Or, le fait de se livrer à un tel trafic constitue indéniablement une atteinte grave à l'ordre et à la sécurité publics.</w:t>
      </w:r>
    </w:p>
    <w:p>
      <w:r>
        <w:t>Dès lors, il existe un motif de révocation de l'autorisation d'établissement découlant de l'art. 63 al. 1 let. b LEtr. 8)</w:t>
      </w:r>
    </w:p>
    <w:p>
      <w:r>
        <w:t>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w:t>
      </w:r>
    </w:p>
    <w:p>
      <w:r>
        <w:t>- 17/25 - A/1634/2016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Doit également être pris en considération le fait que le conjoint, au moment du mariage, connaissait le passé criminel de la personne étrangère qu'il entend épouser et devait par conséquent savoir qu'il risquait de ne pas pouvoir vivre sa vie maritale en Suisse (arrêt du Tribunal fédéral 2C_141/2012 du 30 juillet 2012 consid. 6.3).</w:t>
      </w:r>
    </w:p>
    <w:p>
      <w:r>
        <w:t>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du 26 juillet 2014 consid. 5.3). 9)</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Les relations familiales susceptibles de fonder, en vertu de l'art. 8 CEDH, un droit à une autorisation de police des étrangers sont avant tout les rapports entre époux ainsi qu'entre parents et enfants mineurs vivant ensemble (ATF 127 II 60 consid. 1d/aa ;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w:t>
      </w:r>
    </w:p>
    <w:p>
      <w:r>
        <w:t>- 18/25 - A/1634/2016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10) Il faut également tenir compte de l'intérêt de l'enfant, ainsi que l'exige l'art. 3 al. 1 de la Convention des Nations Unies relative aux droits de l'enfant du</w:t>
      </w:r>
    </w:p>
    <w:p>
      <w:r>
        <w:rPr>
          <w:b/>
        </w:rPr>
        <w:t>E. 20</w:t>
      </w:r>
    </w:p>
    <w:p>
      <w:r>
        <w:t>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w:t>
      </w:r>
    </w:p>
    <w:p>
      <w:r>
        <w:t>- 19/25 - A/1634/2016 droits de l'enfant du 29 juin 1994, FF 1994 I V p. 35 ss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11) En l'occurrence, âgé aujourd'hui de 23 ans, le recourant est arrivé en Suisse en avril 2011, alors qu'il était encore mineur, afin d'y déposer une demande d'asile. Selon ses propres déclarations, il a depuis lors résidé en partie en Suisse et en partie en France voisine. Depuis son arrivée sur le sol helvétique, il a vécu exclusivement dans l'illégalité ou en détention, de sorte que le temps qu'il y a passé doit être fortement relativisé au sens de la jurisprudence précitée.</w:t>
      </w:r>
    </w:p>
    <w:p>
      <w:r>
        <w:t>Il est vrai que le recourant a fait l'objet de sept condamnations entre 2011 et 2015 pour des infractions à la LEtr et à la LStup, à l'exception d'une fois pour appropriation illégitime et conduite d’un véhicule automobile sans le permis de conduire requis. Si les premières condamnations sont inhérentes à son statut de clandestin, les infractions à la LStup sont quant à elles beaucoup moins excusables, même si le recourant était lui-même consommateur de drogues et a également été condamné à cet effet. Sans dénier la gravité de celles-ci, il conviendra de relever que l'infraction la plus grave  crime selon l'art. 19 al. 2 LStup  a été commise alors que le recourant était encore mineur, tandis que les délits selon l'art. 19 al. 1 LStup concernaient tous la vente ou la détention de quantités relativement faibles de stupéfiants. Les circonstances du cas d'espèce sont ainsi bien différentes de cas dans lesquels le Tribunal fédéral a confirmé le non-renouvellement de l'autorisation de séjour, respectivement la révocation de l'autorisation d'établissement, concernant des étrangers condamnés à une peine privative de liberté de quatre ans pour des trafics de drogue portant sur des quantités beaucoup plus importantes (arrêts du Tribunal fédéral 2C_523/2016 du 14 novembre 2016 ; 2C_695/2016 du 1er décembre 2016). Par ailleurs, il semble que le recourant ait pris conscience de la gravité de ses actes puisqu'il n'a plus été condamné pour des faits similaires depuis sa dernière arrestation en septembre 2015.</w:t>
      </w:r>
    </w:p>
    <w:p>
      <w:r>
        <w:t>Il apparaît par ailleurs que le recourant souhaite dorénavant entreprendre tout ce qui est en son pouvoir pour s'intégrer sur le plan professionnel et ainsi être à même de pourvoir à son entretien et celui de sa famille. Après avoir suivi des cours intensifs de français entre janvier et juin 2016, il a envoyé plusieurs lettres de motivation et entamé des démarches pour obtenir un poste d'assistant en soins et santé communautaire et un CFC dans ce domaine. Compte tenu de son statut</w:t>
      </w:r>
    </w:p>
    <w:p>
      <w:r>
        <w:t>- 20/25 - A/1634/2016 précaire, cela n'a pas abouti. Parallèlement, le recourant a travaillé à compter d'avril 2016 en qualité de bénévole, à raison de vingt-quatre heures par semaine, auprès de F______. Le recourant a ensuite réorienté ses recherches professionnelles dans un domaine dans lequel il bénéficiait déjà d'une formation, soit l'électricité. Il a ainsi obtenu une promesse d'embauche pour un poste à durée indéterminée en qualité d'aide électricien, qui n'a pas pu être concrétisée puisqu'il n'a pas obtenu d'autorisation de travail. Cette proposition d'emploi a été régulièrement renouvelée, la dernière fois au mois de novembre 2017. Il aurait dès lors la possibilité d'être engagé immédiatement si une autorisation de séjour lui était délivrée.</w:t>
      </w:r>
    </w:p>
    <w:p>
      <w:r>
        <w:t>À cela s'ajoute que le recourant parle bien le français, ne dépend pas de l'aide sociale et n'est pas sous le coup d'actes de défaut de biens. Si le recourant a effectivement indiqué en audience avoir dorénavant des poursuites en raison des factures médicales qu'il devait assumer en l'absence d'assurance-maladie, on peut raisonnablement partir du principe que l'intéressé ne présente que peu de risques de tomber à la charge de la collectivité publique dès lors qu'un emploi lui semble assuré en cas de délivrance d'une autorisation de séjour.</w:t>
      </w:r>
    </w:p>
    <w:p>
      <w:r>
        <w:t>La chambre administrative n'a par ailleurs aucun doute sur la sincérité et l'effectivité de la relation qui lie le recourant à sa fiancée, avec laquelle il fait ménage commun depuis 2013 et avec qui il a entamé des démarches en vue du mariage, lesquelles n'ont pas abouti uniquement en raison de l'impossibilité de présenter un titre de séjour en Suisse.</w:t>
      </w:r>
    </w:p>
    <w:p>
      <w:r>
        <w:t>S'agissant de la relation qui lie le recourant à sa fille, la chambre de céans ne partage pas l'avis du TAPI qui doute de l'effectivité de celle-ci. S'il est vrai que le recourant a passé quelques mois en prison après la naissance de sa fille, il n'y a pas passé dix mois. En effet, contrairement à ce qu'indique le TAPI, le recourant n'a pas encore purgé la peine relative à sa condamnation du 10 décembre 2015, laquelle devra être exécutée courant 2018. Si, durant les premiers mois de sa vie, B______ n'a effectivement pu avoir des contacts avec son père qu'au travers de parloirs en prison, leur relation a depuis lors pu évoluer tout à fait normalement. Il ressort ainsi des différentes attestations produites émanant des professionnels entourant l'enfant  médecins et éducateurs de la crèche  que le recourant est présent auprès de sa fille, notamment en la déposant et en allant la chercher tous les jours à la crèche et en l'accompagnant chez le médecin. L'attachement très fort de B______ envers son père est par ailleurs confirmé par la mère de l'enfant et un proche, soit Mme D______, ex belle-sœur et curatrice de Mme C______.</w:t>
      </w:r>
    </w:p>
    <w:p>
      <w:r>
        <w:t>Enfin, il ne peut être exigé de Mme C______, laquelle vit maintenant à Genève depuis plus de vingt ans, et de sa fille, qu'elles quittent la Suisse pour aller s'établir en Guinée, pays dans lequel elles n'auront aucun repère et que le recourant a lui-même quitté lorsqu'il était encore mineur.</w:t>
      </w:r>
    </w:p>
    <w:p>
      <w:r>
        <w:t>- 21/25 - A/1634/2016</w:t>
      </w:r>
    </w:p>
    <w:p>
      <w:r>
        <w:t>La chambre de céans, devant laquelle le recourant a comparu en novembre 2017, a pu se rendre compte de la réalité des regrets de l’intéressé, de la sincérité de sa prise de conscience et de sa volonté d’assumer sa famille. L'audition de Mme C______ a également convaincu la chambre de céans de la réalité de leur volonté de fonder une famille et d'offrir un cadre de vie propice au bon développement de leur enfant.</w:t>
      </w:r>
    </w:p>
    <w:p>
      <w:r>
        <w:t>Dès lors, en dépit du comportement pénalement répréhensible du recourant qui s'est étendu sur plusieurs années et a concerné la LStup, il faut reconnaître que les circonstances exceptionnelles du cas d'espèce, soit le jeune âge de l'intéressé lors de la commission des infractions, les efforts entrepris depuis lors par celui-ci pour s'insérer professionnellement et socialement, la bonne évolution de son comportement depuis sa sortie de prison, l'écoulement du temps depuis la commission des dernières infractions (septembre 2015), son repentir qui semble sincère et le préjudice que l'intéressé et sa famille auraient à subir en cas de refus de l'octroi d'une autorisation de séjour, ont pour conséquence que l'intérêt privé du recourant à pouvoir vivre avec sa famille en Suisse l'emporte sur l'intérêt public à son éloignement du territoire helvétique.</w:t>
      </w:r>
    </w:p>
    <w:p>
      <w:r>
        <w:t>Compte tenu de ce qui précède, la chambre de céans retient donc que le recourant, une fois marié, pourrait être admis à séjourner en Suisse, étant précisé qu'un nouvel examen de sa situation pourrait être fait, notamment en cas de changement des circonstances, dans le cadre de l'autorisation de séjour pour regroupement familial sollicitée après le mariage. Partant, le refus de l'OCPM de lui accorder une autorisation de séjour en vue de mariage apparaît disproportionné, tant au regard de la LEtr que de l'art. 8 CEDH, et mésuse du pouvoir d’appréciation de l’intimé. 12) Le recourant doit toutefois être rendu attentif au fait que l'octroi et le maintien de son autorisation de séjour implique un comportement exempt de toute faute. S'il devait, notamment, commettre un nouveau délit, il s'exposerait immanquablement à une mesure d'éloignement du territoire suisse (arrêts du Tribunal fédéral 2C_370/2012 du 29 octobre 2012 consid. 3.2 ; 2C_902/2011 du 14 mai 2012 consid. 3). Il y a donc lieu de lui adresser un avertissement formel en ce sens (art. 96 al. 2 LEtr ; arrêt du Tribunal fédéral 2C_902/2011 précité ; ATA/561/2015 du 2 juin 2015 consid. 24). 13) Le recours sera ainsi admis, le jugement querellé et la décision de l’intimé du 19 avril 2016 annulés. Le dossier sera renvoyé à l'OCPM pour une nouvelle décision dans le sens des considérants, c’est-à-dire en vue de la délivrance d'une autorisation de séjour en vue de mariage. 14) Vu l'issue du recours, aucun émolument ne sera perçu (art. 87 al. 1 LPA). Une indemnité de procédure de CHF 1'500.- pour la seconde instance sera allouée</w:t>
      </w:r>
    </w:p>
    <w:p>
      <w:r>
        <w:t>- 22/25 - A/1634/2016 au recourant, qui y a conclu, qui obtient gain de cause et qui ne bénéficie pas de l'assistance juridique pour la seconde instance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