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ATA/809/2025 vom 24. Juli 2025</w:t>
      </w:r>
    </w:p>
    <w:p>
      <w:r>
        <w:t>GE Cour de justice, 2025-07-24, FR</w:t>
      </w:r>
    </w:p>
    <w:p>
      <w:r>
        <w:rPr>
          <w:b/>
        </w:rPr>
        <w:t xml:space="preserve">Quelle: </w:t>
      </w:r>
      <w:r>
        <w:t>https://mcp.opencaselaw.ch/entscheid/ge_gerichte_ATA_809_2025</w:t>
      </w:r>
    </w:p>
    <w:p>
      <w:r>
        <w:t>FR: GE_GERICHTE ATA/809/2025 du 24 juillet 2025</w:t>
      </w:r>
    </w:p>
    <w:p>
      <w:r>
        <w:t>IT: GE_GERICHTE ATA/809/2025 del 24 luglio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w:t>
      </w:r>
    </w:p>
    <w:p>
      <w:r>
        <w:t>Selon l'art. 10 al. 2 LaLEtr, la chambre administrative doit statuer dans les dix jours qui suivent sa saisine. Ayant reçu le recours le 17 juillet 2025 et statuant ce jour, elle respecte ce délai.</w:t>
      </w:r>
    </w:p>
    <w:p>
      <w:r>
        <w:rPr>
          <w:b/>
        </w:rPr>
        <w:t>E. 3</w:t>
      </w:r>
    </w:p>
    <w:p>
      <w:r>
        <w:t>Le recourant ne conteste pas que les conditions de sa mise en détention administrative et de son expulsion de Suisse soient réunies, mais il sollicite que celle-ci soit exécutée vers la France ou l'Espagne, tout en demandant également sa mise en liberté. Plus particulièrement, il limite ses critiques à l’endroit du jugement à la violation de son droit d’être entendu et à une violation de l'établissement des faits pour ne pas avoir pris en considération les raisons personnelles et familiales le poussant à vouloir être renvoyé en France ou en Espagne.</w:t>
      </w:r>
    </w:p>
    <w:p>
      <w:r>
        <w:rPr>
          <w:b/>
        </w:rPr>
        <w:t>E. 3.1</w:t>
      </w:r>
    </w:p>
    <w:p>
      <w:r>
        <w:t>Tel qu'il est garanti par l'art. 29 de la Constitution fédérale de la Confédération suisse du 18 avril 1999 (Cst. - RS 101), le droit d’être entendu comprend le droit d’obtenir une décision motivée. L’autorité n’est toutefois pas tenue de prendre position sur tous les moyens des parties ; elle peut se limiter aux questions décisives (ATF 142 II 154 consid. 4.2 ; 141 V 557 consid. 3.2.1). Il suffit, de ce point de vue,</w:t>
      </w:r>
    </w:p>
    <w:p>
      <w:r>
        <w:t>- 7/10 - A/2343/2025 que les parties puissent se rendre compte de la portée de la décision prise à leur égard et, le cas échéant, recourir contre elle en connaissance de cause (ATF 141 V 557 consid. 3.2.1 ; 138 I 232 consid. 5.1 ; arrêt du Tribunal fédéral 2C_226/2024 du 15 novembre 2024 consid. 3.2). Tel qu'il est garanti par l'art. 29 de la Constitution fédérale de la Confédération suisse du 18 avril 1999 (Cst. - RS 101), le droit d’être entendu comprend le droit d’obtenir une décision motivée. L’autorité n’est toutefois pas tenue de prendre position sur tous les moyens des parties ; elle peut se limiter aux questions décisives (ATF 142 II 154 consid. 4.2 ; 141 V 557 consid. 3.2.1). Il suffit, de ce point de vue, que les parties puissent se rendre compte de la portée de la décision prise à leur égard et, le cas échéant, recourir contre elle en connaissance de cause (ATF 141 V 557 consid. 3.2.1 ; 138 I 232 consid. 5.1 ; arrêt du Tribunal fédéral 2C_226/2024 du 15 novembre 2024 consid. 3.2). La violation du droit d'être entendu doit en principe entraîner l'annulation de la décision attaquée, indépendamment des chances du recourant sur le fond (ATF 141 V 495 consid. 2.2 ; arrêt du Tribunal fédéral 8C_740/2017 du 25 juin 2018 consid. 3.2). Une réparation devant l'instance de recours est possible si celle-ci jouit du même pouvoir d'examen que l'autorité intimée (ATF 145 I 167 consid. 4.4 ; arrêt du Tribunal fédéral 8C_46/2020 du 5 mai 2020 consid. 6.2).</w:t>
      </w:r>
    </w:p>
    <w:p>
      <w:r>
        <w:rPr>
          <w:b/>
        </w:rPr>
        <w:t>E. 3.2</w:t>
      </w:r>
    </w:p>
    <w:p>
      <w:r>
        <w:t>Le recours peut être formé pour constatation inexacte ou incomplète des faits pertinents (art. 61 al. 1 let. b LPA).</w:t>
      </w:r>
    </w:p>
    <w:p>
      <w:r>
        <w:rPr>
          <w:b/>
        </w:rPr>
        <w:t>E. 3.3</w:t>
      </w:r>
    </w:p>
    <w:p>
      <w:r>
        <w:t>La procédure administrative est régie par la maxime inquisitoire, selon laquelle le juge établit les faits d'office (art. 19 LPA, qui parle à tort de maxime d’office).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 du Tribunal fédéral 1C_454/2017 du 16 mai 2018 consid. 1.4 ; ATA/214/2025 du 4 mars 2025). En procédure administrative genevoise, l’autorité réunit les renseignements et procède aux enquêtes nécessaires pour fonder sa décision ; elle apprécie les moyens de preuve des parties (art. 20 al. 1 LPA) ; elle recourt s’il y a lieu notamment aux témoignages et renseignements de tiers (art. 20 al. 2 let. c LPA) ou à l’expertise (art. 20 al. 2 let. e LPA). Selon le principe de la libre appréciation des preuves, qui s’applique en procédure administrative, le juge apprécie librement les preuves, sans être lié par des règles formelles, en procédant à une appréciation complète et rigoureuse des pièces. Dès lors, le juge doit examiner de manière objective tous les moyens de preuve, quelle qu’en soit la provenance, puis décider si le dossier à disposition permet de</w:t>
      </w:r>
    </w:p>
    <w:p>
      <w:r>
        <w:t>- 8/10 - A/2343/2025 porter un jugement valable sur le droit litigieux (ATA/722/2012 du 30 octobre 2012 consid. 3a et les arrêts cités).</w:t>
      </w:r>
    </w:p>
    <w:p>
      <w:r>
        <w:rPr>
          <w:b/>
        </w:rPr>
        <w:t>E. 3.4</w:t>
      </w:r>
    </w:p>
    <w:p>
      <w:r>
        <w:t>Si l’étranger a la possibilité de se rendre légalement dans plusieurs États, l’autorité compétente peut le renvoyer ou l’expulser dans le pays de son choix (art. 69 al. 2 LEI). À cet égard, la jurisprudence a considéré qu'il n'importait pas de s'assurer de la véritable identité du recourant. Il suffisait de constater que les autorités du pays de renvoi avaient délivré et étaient encore disposées à délivrer un laissez-passer au nom du recourant, ce qui permettrait d'exécuter le renvoi à destination de ce pays dans un délai raisonnable (arrêt du Tribunal fédéral 6B_1392/2022 du 26 janvier 2023 consid. 3.3 et les arrêts cités). En outre, le renvoi dans un pays tiers du choix de l'étranger présuppose que ce dernier ait la possibilité de s'y rendre légalement et constitue, qui plus est, une simple faculté (« peut ») de l'autorité compétente (arrêt du Tribunal fédéral 2C_285/2013 du 23 avril 2013 consid. 7). Lorsque l'étranger n'établit pas qu'il dispose de la possibilité de se rendre légalement dans un État tiers de son choix, il ne saurait reprocher aux autorités suisses de ne pas avoir accédé à son souhait de se rendre dans cet autre pays (arrêt du Tribunal fédéral 2C_935/2011 du 7 décembre 2011 consid. 6). La Suisse ne doit en effet pas encourager sciemment l'entrée illégale dans un pays tiers ; cela ressort clairement des accords de réadmission signés avec les pays voisins, qui obligent régulièrement la Suisse, « dans le but de lutter contre l'immigration illégale », à reprendre les étrangers (tiers) qui entrent illégalement dans ces pays depuis son territoire (ATF 133 II 97 consid. 4.2.2).</w:t>
      </w:r>
    </w:p>
    <w:p>
      <w:r>
        <w:rPr>
          <w:b/>
        </w:rPr>
        <w:t>E. 3.5</w:t>
      </w:r>
    </w:p>
    <w:p>
      <w:r>
        <w:t>En vertu de l'Accord d'association à Dublin du 26 octobre 2004 (AAD – RS 0.142.392.68), la Suisse a repris le principe selon lequel un seul État partie est responsable de l'examen d'une demande d'asile, et s'est engagée à mettre en œuvre (art. 1 AAD), entre autres instruments, le Règlement (CE) n° 343/2003 du Conseil du 18 février 2003 établissant les critères et mécanismes de détermination de l'État membre responsable de l'examen d'une demande d'asile présentée dans l'un des États membres par un ressortissant d'un pays tiers (Règlement Dublin II ; JO UE L 50/1 du 25 février 2003) et le Règlement (CE) n° 2725/2000 du Conseil du 11 décembre 2000 concernant la création du système "Eurodac" pour la comparaison des empreintes digitales aux fins de l'application efficace de la convention de Dublin (Règlement Eurodac ; JO CE L 316/1 du 15 décembre 2000). Le Règlement Dublin II a été remplacé par le Règlement (UE) n° 604/2013 du Parlement européen et du Conseil du 26 juin 2013 établissant les critères et mécanismes de détermination de l'État membre responsable de l'examen d'une demande de protection internationale introduite dans l'un des États membres par un ressortissant de pays tiers ou un apatride [refonte] (Règlement Dublin III ; JO UE L 180/31 du 29 juin 2013), que la Suisse s'est engagée à appliquer dès le 1er janvier 2014, en vertu de l'Échange de notes du 14 août 2013 entre la Suisse et l'Union européenne concernant le développement de l'acquis de «Dublin/Eurodac»</w:t>
      </w:r>
    </w:p>
    <w:p>
      <w:r>
        <w:t>- 9/10 - A/2343/2025 (RS 0.142.392.680.01). Le Règlement Eurodac à quant à lui été refondu dans un Règlement (UE) n° 603/2013 du Parlement européen et du Conseil du 26 juin 2013 (JO UE L 180/1 du 29 juin 2013) et incorporé par la Suisse par l'échange de notes précité (arrêt du Tribunal fédéral 2C_956/2015 du 23 novembre 2015 consid. 3.2.1).</w:t>
      </w:r>
    </w:p>
    <w:p>
      <w:r>
        <w:rPr>
          <w:b/>
        </w:rPr>
        <w:t>E. 3.6</w:t>
      </w:r>
    </w:p>
    <w:p>
      <w:r>
        <w:t>En l'espèce, les « raisons personnelles et familiales » qui font que le recourant souhaite être renvoyé en France ou en Espagne plutôt que dans son pays d'origine ne sont pas des faits pertinents. En effet, seul importe de savoir s'il est habilité à séjourner dans l'un ou l'autre de ces pays, ce qui n'est pas le cas à teneur du dossier et qu'il admet lui-même. Pour l'Espagne, il importe peu que le recourant soit entré en Europe par ce pays : s'il ne s'y est pas annoncé aux autorités et n'y a pas déposé une demande d'asile – ce que démontre son absence dans le fichier Eurodac –, les mécanismes de réadmission prévus par les Accords de Dublin ne s'appliquent pas. Il découle de ce qui précède que le TAPI a établi correctement les faits pertinents et que la motivation de son jugement n'est pas déficiente. Les griefs de constatation inexacte ou incomplète des faits pertinents et de violation du droit d'être entendu seront donc écartés. Pour le surplus, il n'y a pas lieu de revenir sur les conditions de la mise en détention administrative, déjà admises dans l'arrêt de la chambre de céans du 6 mai 2025. Le respect du principe de célérité n'est à juste titre pas remis en cause par le recourant, l'exécution du renvoi suivant son cours et un vol étant réservé. Il en va de même du principe de la proportionnalité, aucune mesure autre que la détention administrative n'étant à même de garantir l'exécution du renvoi du recourant, et la durée de la détention demeurant en l'état loin du maximum légal. Mal fondé, le recours sera rejeté.</w:t>
      </w:r>
    </w:p>
    <w:p>
      <w:r>
        <w:rPr>
          <w:b/>
        </w:rPr>
        <w:t>E. 4</w:t>
      </w:r>
    </w:p>
    <w:p>
      <w:r>
        <w:t>La procédure étant gratuite, aucun émolument ne sera perçu (art. 87 al. 1 LPA cum art. 12 al. 1 du règlement sur les frais, émoluments et indemnités en procédure administrative du 30 juillet 1986 - RFPA - E 5 10.03).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