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ATA/809/2022 vom 15. August 2022</w:t>
      </w:r>
    </w:p>
    <w:p>
      <w:r>
        <w:t>GE Cour de justice, 2022-08-15, FR</w:t>
      </w:r>
    </w:p>
    <w:p>
      <w:r>
        <w:rPr>
          <w:b/>
        </w:rPr>
        <w:t xml:space="preserve">Quelle: </w:t>
      </w:r>
      <w:r>
        <w:t>https://mcp.opencaselaw.ch/entscheid/ge_gerichte_ATA_809_2022</w:t>
      </w:r>
    </w:p>
    <w:p>
      <w:r>
        <w:t>FR: GE_GERICHTE ATA/809/2022 du 15 août 2022</w:t>
      </w:r>
    </w:p>
    <w:p>
      <w:r>
        <w:t>IT: GE_GERICHTE ATA/809/2022 del 15 agosto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Selon l’art. 51 LPA, la réclamation est formée par écrit avec indication des motifs ainsi que des moyens de preuves éventuels (al. 1), elle a effet suspensif (al. 2), peut être formée par celui qui a qualité pour recourir (al. 3) et doit être formée dans les trente jours dès la notification de la décision, les dispositions des art. 62, al. 2 à 5, et 63 étant applicables par analogie (al. 4).</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 ATA/1240/2019 du 13 août 2019). Le strict respect des délais légaux se justifie pour des raisons d’égalité de traitement et n’est pas constitutif de formalisme excessif (ATF 125 V 65 consid. 1).</w:t>
      </w:r>
    </w:p>
    <w:p>
      <w:r>
        <w:t>c. Les cas de force majeure demeurent réservés (art. 16 al. 1, 2ème phr. LPA). À cet égard, il y a lieu de préciser que tombent sous cette notion les événements extraordinaires et imprévisibles qui surviennent en dehors de la sphère d’activité de l’intéressé et qui s’imposent à lui de façon irrésistible et sans sa faute (SJ 1999 I 119 ; RDAF 1991 p. 45 ; ATA/1595/2017 du 12 décembre 2017 consid. 3 ; ATA/261/2016 du 22 mars 2016).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(ATA/1373/2018 du 18 décembre 2018 consid. 8 ; ATA/1595/2017 précité consid. 3). 3)</w:t>
      </w:r>
    </w:p>
    <w:p>
      <w:r>
        <w:t>En l’espèce, la recourante ne conteste pas que la décision a été notifiée à l’adresse qu’elle avait indiquée le 12 janvier 2022 et que le délai de trente jours pour former réclamation a expiré le 11 février 2022.</w:t>
      </w:r>
    </w:p>
    <w:p>
      <w:r>
        <w:t>- 4/5 - A/1118/2022</w:t>
      </w:r>
    </w:p>
    <w:p>
      <w:r>
        <w:t>Elle fait valoir qu’elle a souffert du Covid et n’a pu rentrer de Nice que le 18 janvier 2022 et produit un rapport d’analyse du 5 janvier 2022 attestant de son infection par le variant Omicron. Dans sa réplique, elle allègue également une dépression nerveuse « aiguë ».</w:t>
      </w:r>
    </w:p>
    <w:p>
      <w:r>
        <w:t>Elle ne documente toutefois pas sa dépression ni les éventuels effets que celle-ci et le « covid long », au sujet duquel elle ne mentionne qu’une toux persistante, auraient eu sur sa capacité à accomplir des formalités administratives.</w:t>
      </w:r>
    </w:p>
    <w:p>
      <w:r>
        <w:t>Elle n’a pas fait valoir ces circonstances dans sa réclamation. Le fait que celle-ci soit datée du 11 février 2022 porte à conclure qu’elle était capable de déployer des arguments et de produire des pièces en temps utile pour contester la décision du DEE. La recourante ne se prononce pas sur cette circonstance relevée par l’intimé et n’explique pas pourquoi elle n’a expédié sa réclamation que le 16 février 2022.</w:t>
      </w:r>
    </w:p>
    <w:p>
      <w:r>
        <w:t>Elle échoue ainsi à établir un cas de force majeure aux conditions strictes posées par la jurisprudence.</w:t>
      </w:r>
    </w:p>
    <w:p>
      <w:r>
        <w:t>Au vu de ce qui précède, le DEE était fondé à constater la tardiveté de sa réclamation et à la déclarer irrecevable.</w:t>
      </w:r>
    </w:p>
    <w:p>
      <w:r>
        <w:t>Mal fondé, le recours devant la chambre de céans sera rejeté. 4)</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