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ATA/809/2018 vom 7. August 2018</w:t>
      </w:r>
    </w:p>
    <w:p>
      <w:r>
        <w:t>GE Cour de justice, 2018-08-07, FR</w:t>
      </w:r>
    </w:p>
    <w:p>
      <w:r>
        <w:rPr>
          <w:b/>
        </w:rPr>
        <w:t xml:space="preserve">Quelle: </w:t>
      </w:r>
      <w:r>
        <w:t>https://mcp.opencaselaw.ch/entscheid/ge_gerichte_ATA_809_2018</w:t>
      </w:r>
    </w:p>
    <w:p>
      <w:r>
        <w:t>FR: GE_GERICHTE ATA/809/2018 du 7 août 2018</w:t>
      </w:r>
    </w:p>
    <w:p>
      <w:r>
        <w:t>IT: GE_GERICHTE ATA/809/2018 del 7 agosto 2018</w:t>
      </w:r>
    </w:p>
    <w:p>
      <w:pPr>
        <w:pStyle w:val="Heading2"/>
      </w:pPr>
      <w:r>
        <w:t>Erwägungen</w:t>
      </w:r>
    </w:p>
    <w:p>
      <w:r>
        <w:rPr>
          <w:b/>
        </w:rPr>
        <w:t>E. 12</w:t>
      </w:r>
    </w:p>
    <w:p>
      <w:r>
        <w:t>septembre 1985 - LPA - E 5 10 ; art. 7 al. 2 de la loi de procédure fiscale du 4 octobre 2001 - LPFisc - D 3 17). 2)</w:t>
      </w:r>
    </w:p>
    <w:p>
      <w:r>
        <w:t>Dans un arrêt récent (ATA/460/2018 du 8 mai 2018), la chambre de céans a examiné la question de la détermination de la valeur des actions d’une société et a retenu ce qui suit :</w:t>
      </w:r>
    </w:p>
    <w:p>
      <w:r>
        <w:t>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 LHID, dans quelle mesure le rendement doit être pris en considération dans l’estimation (ATF 134 II 207 consid. 3.6 ; arrêt du Tribunal fédéral 2C_826/2015 du 5 janvier 2017 consid. 4.1 non publié in ATF 143 I 73).</w:t>
      </w:r>
    </w:p>
    <w:p>
      <w:r>
        <w:t>b. À Genève,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(ATA/1518/2017 du 21 novembre 2017 et les références citées). 3) a. Édictée par la CSI, qui regroupe les administrations fiscales cantonales et l’administration fédérale des contributions (ci-après : AFC-CH), la circulaire no 28, qui porte sur l’estimation des titres non cotés en vue de l’impôt sur la fortune, a fait l’objet de plusieurs éditions depuis les années 1940, dont la dernière date du 28 août 2008, laquelle est ainsi applicable à la période fiscale 2010 faisant l’objet du présent litige. La CSI édite annuellement un commentaire à la circulaire no 28, la dernière version datant de 2016 (ci-après : commentaire).</w:t>
      </w:r>
    </w:p>
    <w:p>
      <w:r>
        <w:t>- 5/8 - A/169/2015</w:t>
      </w:r>
    </w:p>
    <w:p>
      <w:r>
        <w:t>La circulaire no 28 a pour objectif l’estimation uniforme en Suisse, pour l’impôt sur la fortune, des titres nationaux et étrangers qui ne sont négociés dans aucune bourse, et sert à l’harmonisation fiscale intercantonale (ch. 1 § 1 de la circulaire no 28).</w:t>
      </w:r>
    </w:p>
    <w:p>
      <w:r>
        <w:t>b. L’activité effective d’une société détermine son mode d’estimation (ch. 6 de la circulaire no 28).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no 28), étant précisé que, même si elles se révèlent importantes, des fluctuations de rendement ne justifient pas de déroger à ce principe, dès lors que des oscillations conjoncturelles sont à considérer comme immanentes au système économique (commentaire ad ch. 34 p. 45). Cette méthode est généralement appelée « méthode des praticiens » (arrêts du Tribunal fédéral 2C_583/2013 du 23 décembre 2013 consid. 3.1.2 ; 2C_309/2013 du 18 septembre 2013 consid. 3.6).</w:t>
      </w:r>
    </w:p>
    <w:p>
      <w:r>
        <w:t>c. Les principes d’estimation doivent être choisis de telle manière que le résultat se rapproche au mieux de la réalité économique, la circulaire no 28 contenant des instructions à cet égard, auxquelles il peut être dérogé pour des motifs d’égalité de traitement lorsque leur application se révélerait contraire au droit ou si la valeur vénale d’un titre peut être mieux évaluée (commentaire ad ch. 1 p. 2). Les instructions reposent toutefois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du 14 janvier 2015 consid. 5.5 ; ATA/975/2015 du 22 septembre 2015).</w:t>
      </w:r>
    </w:p>
    <w:p>
      <w:r>
        <w:t>d. Si elle est effectuée sur la base de la circulaire no 28, il convient alors de supposer que l’estimation aboutit à une valeur vénale correcte et que, par ce calcul, le fisc a apporté une preuve suffisante. Si un contribuable est d’un avis contraire, il lui appartient dès lors d’apporter ses propres preuves (commentaire ad ch. 5 p. 10 ; ATA/1418/2017 précité).</w:t>
      </w:r>
    </w:p>
    <w:p>
      <w:r>
        <w:t>e.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d’estimation peut, sur demande de l’entreprise, prendre en considération cette situation par une pondération simple de la valeur de rendement, c’est-à-dire non</w:t>
      </w:r>
    </w:p>
    <w:p>
      <w:r>
        <w:t>- 6/8 - A/169/2015 doublée, et de la valeur substantielle. Le requérant doit, chaque année, prouver que les conditions pour une telle estimation sont remplies et il lui appartient d’apporter les justificatifs et documents nécessaires (commentaire ad ch. 5 p. 9).</w:t>
      </w:r>
    </w:p>
    <w:p>
      <w:r>
        <w:t>La jurisprudence a par exemple retenu dans le cas d’une société de gestion, courtage et conseil en immobilier, dont le contribuable était l’administrateur et actionnaire unique, qui employait deux salariées, dont l’épouse du contribuable assumait la fonction de secrétaire ainsi qu’une assistante, que le rendement de la société reposait presque exclusivement sur la performance de l’actionnaire et qu’il se justifiait de s’écarter de la méthode d’estimation générale (ATA/595/2015 du 9 juin 2015).</w:t>
      </w:r>
    </w:p>
    <w:p>
      <w:r>
        <w:t>f. La méthode générale d’estimation contenue dans la circulaire no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no 28 poursuivait un but d’harmonisation fiscale horizontale et concrétisait ainsi l’art. 14 al. 1 LHID (arrêts du Tribunal fédéral 2C_1082/2013 précité consid 5.3.1 ; 2C_583/2013 précité consid. 3.1.3 ; 2C_800/2008 du 12 juin 2009 consid. 5.2 ; 2C_952/2010 du 29 mars 2011 consid. 2.1). Sur le fond, il a considéré que la circulaire no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précité consid. 3.6 ; ATA/779/2015 précité ; ATA/595/2015 précité).</w:t>
      </w:r>
    </w:p>
    <w:p>
      <w:r>
        <w:t>En effet, en tant que directive, la circulaire no 28 ne constitue pas du droit et ne lie pas le juge (arrêts du Tribunal fédéral 2C_1082/2013 précité consid. 5.3.1 ; 2C_1168/2013 précité consid. 3.6 ; 2C_504/2009 précité consid. 3.3), faisant partie des ordonnances administratives, qui s’adressent aux administrations fiscales cantonales afin d’unifier et de rationaliser la pratique, d’assurer l’égalité de traitement, le bon fonctionnement de l’administration et la sécurité juridique ; celles-ci ne s’en écartent que dans la mesure où elles contreviennent au sens et au but de la loi (ATF 136 I 129 consid. 6.4 ; arrêts du Tribunal fédéral 2C_95/2011 du 11 octobre 2011 consid. 2.3 ; 2C_103/2009 du 10 juillet 2009 consid. 2.2 ; ATA/779/2015 précité ; ATA/764/2014 du 30 septembre 2014).</w:t>
      </w:r>
    </w:p>
    <w:p>
      <w:r>
        <w:t>- 7/8 - A/169/2015 4)</w:t>
      </w:r>
    </w:p>
    <w:p>
      <w:r>
        <w:t>En l’espèce, la recourante a allégué tout au long de la procédure que l’AFC-GE aurait dû retenir la valeur substantielle de la société et sa valeur de rendement au motif que le rendement de la société dépendait exclusivement de l’activité déployée par elle-même et son associé. Elle n’apporte toutefois aucun élément probant à l’appui de cette allégation, alors qu’il ressort du dossier que la société emploie plusieurs salariés dont il n’est pas contesté que l’activité concoure au rendement de cette dernière. La recourante n’apporte pas davantage de démonstration que la problématique de la variabilité des revenus présenterait des caractéristiques spécifiques à la situation de la société.</w:t>
      </w:r>
    </w:p>
    <w:p>
      <w:r>
        <w:t>La recourante n’étant pas parvenue à établir les faits lui permettant de bénéficier d’une exception aux principes posés par la circulaire no 28, le TAPI a considéré à juste titre que l’AFC-GE en avait fait un usage correct. 5)</w:t>
      </w:r>
    </w:p>
    <w:p>
      <w:r>
        <w:t>En tous points mal fondé, le recours sera rejeté. 6)</w:t>
      </w:r>
    </w:p>
    <w:p>
      <w:r>
        <w:t>Vu l’issue du litige, un émolument de CHF 1'000.- sera mis à la charge de la recourante qui succombe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