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ATA/809/2012 vom 27. November 2012</w:t>
      </w:r>
    </w:p>
    <w:p>
      <w:r>
        <w:t>GE Cour de justice, 2012-11-27, FR</w:t>
      </w:r>
    </w:p>
    <w:p>
      <w:r>
        <w:rPr>
          <w:b/>
        </w:rPr>
        <w:t xml:space="preserve">Quelle: </w:t>
      </w:r>
      <w:r>
        <w:t>https://mcp.opencaselaw.ch/entscheid/ge_gerichte_ATA_809_2012</w:t>
      </w:r>
    </w:p>
    <w:p>
      <w:r>
        <w:t>FR: GE_GERICHTE ATA/809/2012 du 27 novembre 2012</w:t>
      </w:r>
    </w:p>
    <w:p>
      <w:r>
        <w:t>IT: GE_GERICHTE ATA/809/2012 del 27 novembre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t>- 19/25 - A/2887/2007</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litige porte sur les taxations d’office ICC et IFD et les amendes y relatives intervenues dans le cadre de la procédure en rappel d’impôt et en soustraction fiscale, qui concerne les exercices 2001 à 2003, ouverte le 24 novembre 2004 pour l’année 2001 et étendue le 14 novembre 2006 aux années 2002 et 2003.</w:t>
      </w:r>
    </w:p>
    <w:p>
      <w:r>
        <w:rPr>
          <w:b/>
        </w:rPr>
        <w:t>E. 4</w:t>
      </w:r>
    </w:p>
    <w:p>
      <w:r>
        <w:t>a. le litige relatif à l’IFD doit s’apprécier au regard des dispositions de la loi fédérale sur l’impôt fédéral direct, du 14 décembre 1990 (LIFD - RS 642.11).</w:t>
      </w:r>
    </w:p>
    <w:p>
      <w:r>
        <w:t>b. Sur le plan cantonal, la nouvelle loi sur l’imposition des personnes physiques adoptée le 12 juin 2009 par le Grand Conseil a été acceptée en votation populaire le 27 septembre 2009 (LIPP - D 3 08). Cette loi unifie les 5 lois issues de l’adaptation de la législation fiscale genevoise sur l’imposition des personnes physiques aux exigences de la loi fédérale sur l’harmonisation des impôts directs des cantons et des communes du 14 décembre 1990 (LHID - RS 642.14).</w:t>
      </w:r>
    </w:p>
    <w:p>
      <w:r>
        <w:t>c.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d. Le litige pour les années fiscales 2001 à 2003 doit ainsi être examiné à l’aune du régime juridique en vigueur de 2001 à 2003, soit les dispositions de la LHID,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loi sur l’imposition des personnes physiques - Détermination du revenu net - Calcul de l’impôt et rabais d’impôt - Compensation des effets de la progression à froid du 22 septembre 2000 (aLIPP-V - D 3 16) et de la loi sur l’imposition dans le temps des personnes physiques du 31 août 2000 (aLITPP II - D 3 12). Pour la procédure, lui sont applicables les règles de la loi de procédure fiscale du 4 octobre 2001 (LPFisc - RS D 3 17).</w:t>
      </w:r>
    </w:p>
    <w:p>
      <w:r>
        <w:rPr>
          <w:b/>
        </w:rPr>
        <w:t>E. 5</w:t>
      </w:r>
    </w:p>
    <w:p>
      <w:r>
        <w:t>En matière d’IFD et d’ICC, les mêmes obligations de procédure vis-à-vis du fisc incombent au contribuable. Il doit déposer une déclaration fiscale conforme à la vérité et complète (art. 124 al. 2 LIFD ; art. 26 al. 2 LPFisc), accompagnée des annexes nécessaires (art. 125 LIFD ; 29 LPFisc). Ses obligations de procédure</w:t>
      </w:r>
    </w:p>
    <w:p>
      <w:r>
        <w:t>- 20/25 - A/2887/2007 perdurent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w:t>
      </w:r>
    </w:p>
    <w:p>
      <w:r>
        <w:rPr>
          <w:b/>
        </w:rPr>
        <w:t>E. 6</w:t>
      </w:r>
    </w:p>
    <w:p>
      <w:r>
        <w:t>a. Lorsque l’autorité fiscale constate qu’une taxation n’a pas été effectuée correctement parce que des moyens de preuve ou des faits inconnus parviennent à sa connaissance, elle peut ouvrir une procédure en rappel d’impôt (art. 151 LIFD ; art. 59 al. 1 LPFisc), de façon à rectifier l’imposition.</w:t>
      </w:r>
    </w:p>
    <w:p>
      <w:r>
        <w:t>b. Dans le cadre d’une procédure en rappel d’impôt, des obligations de procédure identiques à celles existant en procédure de taxation ordinaire incombent au contribuable, y compris, selon le Tribunal fédéral, lorsque celle-ci est couplée à une procédure en soustraction fiscale (ATF 121 II 273).</w:t>
      </w:r>
    </w:p>
    <w:p>
      <w:r>
        <w:rPr>
          <w:b/>
        </w:rPr>
        <w:t>E. 7</w:t>
      </w:r>
    </w:p>
    <w:p>
      <w:r>
        <w:t>a. A teneur de l’art. 130 al. 2 LIFD, si le contribuable, malgré une sommation, n’a pas satisfait à ses obligations de procédure ou que les éléments imposables ne peuvent être déterminés avec toute la précision voulue en l’absence de données suffisantes, l’autorité peut effectuer une taxation d’office. Elle fixe alors le montant de l’impôt dû sur la base d’une appréciation consciencieuse. Elle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les coefficients expérimentaux, l’évolution de fortune et le train de vie de la contribuable » (D. YERSIN, Y. NOËL, Impôt fédéral direct, Commentaire de la loi sur l’impôt fédéral direct, 2008, p. 1261).</w:t>
      </w:r>
    </w:p>
    <w:p>
      <w:r>
        <w:t>b. L’art. 37 LPFisc prévoit une règle similaire en matière d’ICC, qui reprend la teneur de l’art. 46 al. 3 de la LHID.</w:t>
      </w:r>
    </w:p>
    <w:p>
      <w:r>
        <w:rPr>
          <w:b/>
        </w:rPr>
        <w:t>E. 8</w:t>
      </w:r>
    </w:p>
    <w:p>
      <w:r>
        <w:t>Un contribuable ne satisfait pas ses obligations de procédure lorsqu’il exécute imparfaitement ou incomplètement celle-ci. Tel est le cas notamment lorsqu’il est requis par l’autorité fiscale de remettre un document déterminé et qu’il ne le remet pas, ou remet en lieu et place un autre document qui ne contient pas tous les éléments nécessaires à la taxation (D. YERSIN / Y. NOËL, op. cit., p. 1260).</w:t>
      </w:r>
    </w:p>
    <w:p>
      <w:r>
        <w:rPr>
          <w:b/>
        </w:rPr>
        <w:t>E. 9</w:t>
      </w:r>
    </w:p>
    <w:p>
      <w:r>
        <w:t>L’autorité fiscale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589 ;</w:t>
      </w:r>
    </w:p>
    <w:p>
      <w:r>
        <w:t>- 21/25 - A/2887/2007 X. OBERSON, Droit fiscal suisse, 4ème éd. 2012, p. 522). En définitive, la procédure doit aboutir à une taxation objectivement défendable (D. YERSIN / Y. NOËL, op. cit., p. 1260/61).</w:t>
      </w:r>
    </w:p>
    <w:p>
      <w:r>
        <w:rPr>
          <w:b/>
        </w:rPr>
        <w:t>E. 10</w:t>
      </w:r>
    </w:p>
    <w:p>
      <w:r>
        <w:t>a. Le contribuable taxé d’office peut déposer une réclamation contre une taxation d’office en se prévalant de ce que les conditions d’une taxation d’office n’étaient pas réunies ou s’il veut invoquer le fond du litige, exclusivement pour le motif qu’elle est manifestement inexacte. En tel cas, la réclamation doit être motivée et indiquer le cas échéant les moyens de preuve. Cela implique que, lors de la procédure de réclamation, celui-ci prouve l’inexactitude de celle-ci en apportant les éléments nécessaires pour établir son revenu réel et établisse qu’elle ne correspond pas à la situation réelle. Cette exigence emporte donc un renversement du fardeau de la preuve (D. YERSIN / Y. NOËL, op. cit., p. 1276 et 1279). C’est en fonction de l’état du dossier, soit sur la base des éléments de preuve apportés au moment où l’autorité décisionnaire doit statuer sur la réclamation, que la décision de celle-ci doit être prise (RDAF 2005 II 564 consid. 5 à 7 ; D. YERSIN / Y. NOËL, op. cit., p. 1280).</w:t>
      </w:r>
    </w:p>
    <w:p>
      <w:r>
        <w:t>b.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recourant n’avait pas établi le caractère manifestement inexact de la taxation (Arrêt du Tribunal fédéral 2A.155/2002 du</w:t>
      </w:r>
    </w:p>
    <w:p>
      <w:r>
        <w:rPr>
          <w:b/>
        </w:rPr>
        <w:t>E. 13</w:t>
      </w:r>
    </w:p>
    <w:p>
      <w:r>
        <w:t>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631 ; X. OBERSON, op. cit., § 26 n. 19). Le comportement est intentionnel dès lors qu’il a été établi avec une sécurité suffisante que le contribuable était conscient que les informations données étaient incomplètes ou incorrectes ; si cette conscience est établie, on peut alors présumer l’intention ou du moins le dol éventuel (X. OBERSON, op. cit., § 26 n. 18). Une telle présomption est difficile à renverser à teneur de la jurisprudence constante du Tribunal fédéral, celui-ci estimant que l’on peine à imaginer quel autre motif que la volonté de se soustraire</w:t>
      </w:r>
    </w:p>
    <w:p>
      <w:r>
        <w:t>- 23/25 - A/2887/2007 à l’impôt pourrait conduire un contribuable à fournir au fisc des informations qu’il sait incorrectes ou incomplètes (ATF 114 Ib 27 consid. 3a ; Arrêts du Tribunal fédéral 2C_898/2011 du 28 mars 2012 consid. 2.2 ; 2C_528/2011 du 17 janvier 2012 consid. 2 et les arrêts cités ; RDAF 2003 II 632 ss, notamment 637, et la jurisprudence citée).</w:t>
      </w:r>
    </w:p>
    <w:p>
      <w:r>
        <w:t>S’agissant de savoir si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(Arrêts du Tribunal fédéral 2C_898/2011 précité consid. 2.2 ; 2C_528/2011 précité consid. 2).</w:t>
      </w:r>
    </w:p>
    <w:p>
      <w:r>
        <w:rPr>
          <w:b/>
        </w:rPr>
        <w:t>E. 14</w:t>
      </w:r>
    </w:p>
    <w:p>
      <w:r>
        <w:t>A teneur des art. 59 al. 3 LHID et 82 LPFisc, les dispositions générales du Code pénal suisse du 21 décembre 1937 (CP - RS 311.0) sont applicables à la soustraction fiscale.</w:t>
      </w:r>
    </w:p>
    <w:p>
      <w:r>
        <w:rPr>
          <w:b/>
        </w:rPr>
        <w:t>E. 15</w:t>
      </w:r>
    </w:p>
    <w:p>
      <w:r>
        <w:t>La quotité de l’amende n’est pas fixée en fonction de l’intention de soustraire ou de la négligence qui peut être reprochée au contribuable mais de l’intensité de sa faute, qui doit être fixée en fonction de sa culpabilité (art. 48 CP, dans sa teneur antérieure au 1er janvier 2007, ou art. 106 CP, en vigueur depuis cette date, mais dont la portée est inchangée). En revanche, le fait que l’auteur ait agit intentionnellement ou par négligence peut avoir une incidence sur l’intensité de la faute et, partant, sur la quotité de l’amende.</w:t>
      </w:r>
    </w:p>
    <w:p>
      <w:r>
        <w:t>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(ATA/42/2011 du 25 janvier 2011 ; ATA/607/2008 du 2 décembre 2008 ; ATA/96/2008 du 4 mars 2008 ; ATA/128/2003 du 11 mars 2003).</w:t>
      </w:r>
    </w:p>
    <w:p>
      <w:r>
        <w:rPr>
          <w:b/>
        </w:rPr>
        <w:t>E. 16</w:t>
      </w:r>
    </w:p>
    <w:p>
      <w:r>
        <w:t>En l’espèce, le recourant n’a pas fait état dans ses déclarations fiscales 2001 à 2003 de certains comptes bancaires dont il était titulaire. Dès lors qu’il a rempli de manière complète ses déclarations fiscales, optant pour déclarer certains de ses comptes bancaires à l’exclusion de ceux qu’il détenait à l’étranger ou du compte de dépôt-titres à W______ contenant la majeure partie de sa fortune mobilière, avec pour conséquence une taxation bien inférieure à celle qui aurait dû intervenir, le recourant ne peut pas se prévaloir d’avoir agi par négligence, les conditions d’un dol éventuel étant à tout le moins réunies. La décision de l’AFC-GE de considérer le recourant comme étant l’auteur d’une soustraction fiscale pour l’exercice fiscale 2001-B et d’une tentative de soustraction fiscale pour les exercices fiscaux 2002 et 2003 dont les taxations n’étaient pas en force au moment de l’ouverture de la procédure de rappel d’impôt sera confirmée. Il en ira</w:t>
      </w:r>
    </w:p>
    <w:p>
      <w:r>
        <w:t>- 24/25 - A/2887/2007 de même de la décision d’infliger une amende d’un montant correspondant à la quotité légale, ceci au vu de l’intensité de la faute commise.</w:t>
      </w:r>
    </w:p>
    <w:p>
      <w:r>
        <w:rPr>
          <w:b/>
        </w:rPr>
        <w:t>E. 17</w:t>
      </w:r>
    </w:p>
    <w:p>
      <w:r>
        <w:t>La CCRA a retenu que pour l’exercice fiscal 2002 il y avait lieu de mettre le recourant au bénéfice d’une 1/2 charge de famille pour chacun de ses 3 enfants, si bien qu’il y avait lieu de retourner le dossier à l’AFC-GE pour nouvelle taxation dans ce sens et nouveau calcul de l’amende. Ce point n’ayant pas fait l’objet d’un recours, il n’y a pas lieu de les traiter à nouveau.</w:t>
      </w:r>
    </w:p>
    <w:p>
      <w:r>
        <w:rPr>
          <w:b/>
        </w:rPr>
        <w:t>E. 18</w:t>
      </w:r>
    </w:p>
    <w:p>
      <w:r>
        <w:t>Le recours sera rejeté et la décision de la CCRA du 18 octobre 2010 entièrement confirmée. Un émolument de CHF 2’000.- sera mis à la charge du recourant.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