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ATA/808/2012 vom 27. November 2012</w:t>
      </w:r>
    </w:p>
    <w:p>
      <w:r>
        <w:t>GE Cour de justice, 2012-11-27, FR</w:t>
      </w:r>
    </w:p>
    <w:p>
      <w:r>
        <w:rPr>
          <w:b/>
        </w:rPr>
        <w:t xml:space="preserve">Quelle: </w:t>
      </w:r>
      <w:r>
        <w:t>https://mcp.opencaselaw.ch/entscheid/ge_gerichte_ATA_808_2012</w:t>
      </w:r>
    </w:p>
    <w:p>
      <w:r>
        <w:t>FR: GE_GERICHTE ATA/808/2012 du 27 novembre 2012</w:t>
      </w:r>
    </w:p>
    <w:p>
      <w:r>
        <w:t>IT: GE_GERICHTE ATA/808/2012 del 27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devant la juridiction compétente, le recours est, à cet égard, recevable (art. 132 de la loi sur l’organisation judiciaire du 26 septembre 2010 - LOJ - E 2 05).</w:t>
      </w:r>
    </w:p>
    <w:p>
      <w:r>
        <w:rPr>
          <w:b/>
        </w:rPr>
        <w:t>E. 2</w:t>
      </w:r>
    </w:p>
    <w:p>
      <w:r>
        <w:t>Le délai de recours est de trente jours s'il s'agit d'une décision finale ou d'une décision en matière de compétence (art. 62 al. 1 let. a de la loi sur la procédure administrative du 12 septembre 1985 - LPA - E 5 10) et de dix jours s'il s'agit d'une autre décision (art. 62 al. 1 let. b LPA). Le délai court dès le lendemain de la notification de la décision (art. 62 al. 3 LPA).</w:t>
      </w:r>
    </w:p>
    <w:p>
      <w:r>
        <w:t>Par ailleurs, les délais en jours et en mois fixés par la loi ou par l'autorité ne courent pas du 7ème jour avant Pâques au 7ème jour après Pâques inclusivement</w:t>
      </w:r>
    </w:p>
    <w:p>
      <w:r>
        <w:t>- 3/5 - A/3467/2012 (art. 17A al. 1 let. a LPA), ainsi que du 15 juillet au 15 août inclusivement (art. 17A al. 1 let. b LPA).</w:t>
      </w:r>
    </w:p>
    <w:p>
      <w:r>
        <w:rPr>
          <w:b/>
        </w:rPr>
        <w:t>E. 3</w:t>
      </w:r>
    </w:p>
    <w:p>
      <w:r>
        <w:t>En vertu de l’art. 64 al. 1 LPA, le recours est formé par écrit et adressé à la juridiction administrative appelée à en connaître.</w:t>
      </w:r>
    </w:p>
    <w:p>
      <w:r>
        <w:rPr>
          <w:b/>
        </w:rPr>
        <w:t>E. 4</w:t>
      </w:r>
    </w:p>
    <w:p>
      <w:r>
        <w:t>septembre 2007).</w:t>
      </w:r>
    </w:p>
    <w:p>
      <w:r>
        <w:t>Le défaut de signature est un vice réparable, pour autant que la signature soit apposée pendant le délai de recours (art. 65 al. 3 LPA ; art. 52 al. 2 de la loi fédérale sur la procédure administrative du 20 décembre 1968 - PA - RS 172.021 ; ATF 125 I 166 ; Arrêt du Tribunal fédéral 2C_319/2011 du 26 janvier 2012 consid. 6.1 ; ATA/750/2012 du ; ATA/201/2012 du 3 avril 2012 consid. 5b). Cette réglementation tend à éviter tout formalisme excessif en permettant à l’intéressé de réparer une omission.</w:t>
      </w:r>
    </w:p>
    <w:p>
      <w:r>
        <w:rPr>
          <w:b/>
        </w:rPr>
        <w:t>E. 5</w:t>
      </w:r>
    </w:p>
    <w:p>
      <w:r>
        <w:t>En l’espèce, la décision attaquée a été reçue par la recourante le 18 octobre 2012. Le délai de recours courait dès le lendemain de cette réception ; aucun des trente jours dudit délai ne coïncidait avec une période de suspension des délais au sens de l'art. 17A LPA. Le délai de recours de trente jours venait donc à échéance le lundi 19 novembre 2012, qui n'était pas un jour férié.</w:t>
      </w:r>
    </w:p>
    <w:p>
      <w:r>
        <w:t>La recourante n'a cependant envoyé à la chambre administrative, le dernier jour du délai de recours, qu'un acte non signé. Ce défaut de signature ne pouvait être réparé vu l’expiration du délai de recours.</w:t>
      </w:r>
    </w:p>
    <w:p>
      <w:r>
        <w:rPr>
          <w:b/>
        </w:rPr>
        <w:t>E. 6</w:t>
      </w:r>
    </w:p>
    <w:p>
      <w:r>
        <w:t>Le recours ne peut ainsi qu'être déclaré irrecevable, sans acte d'instruction conformément à l'art. 72 LPA.</w:t>
      </w:r>
    </w:p>
    <w:p>
      <w:r>
        <w:t>- 4/5 - A/3467/2012</w:t>
      </w:r>
    </w:p>
    <w:p>
      <w:r>
        <w:rPr>
          <w:b/>
        </w:rPr>
        <w:t>E. 7</w:t>
      </w:r>
    </w:p>
    <w:p>
      <w:r>
        <w:t>Vu les circonstances de la cause, il sera renoncé à la perception d'un émolument (art. 87 al. 1 LPA). Vu l'issue du litige,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