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ATA/806/2015 vom 11. August 2015</w:t>
      </w:r>
    </w:p>
    <w:p>
      <w:r>
        <w:t>GE Cour de justice, 2015-08-11, FR</w:t>
      </w:r>
    </w:p>
    <w:p>
      <w:r>
        <w:rPr>
          <w:b/>
        </w:rPr>
        <w:t xml:space="preserve">Quelle: </w:t>
      </w:r>
      <w:r>
        <w:t>https://mcp.opencaselaw.ch/entscheid/ge_gerichte_ATA_806_2015</w:t>
      </w:r>
    </w:p>
    <w:p>
      <w:r>
        <w:t>FR: GE_GERICHTE ATA/806/2015 du 11 août 2015</w:t>
      </w:r>
    </w:p>
    <w:p>
      <w:r>
        <w:t>IT: GE_GERICHTE ATA/806/2015 del 11 agosto 2015</w:t>
      </w:r>
    </w:p>
    <w:p>
      <w:pPr>
        <w:pStyle w:val="Heading2"/>
      </w:pPr>
      <w:r>
        <w:t>Erwägungen</w:t>
      </w:r>
    </w:p>
    <w:p>
      <w:r>
        <w:rPr>
          <w:b/>
        </w:rPr>
        <w:t>E. 28</w:t>
      </w:r>
    </w:p>
    <w:p>
      <w:r>
        <w:t>septembre 2010 consid. 2). Une requête en annulation d’une décision doit, par exemple, être déclarée recevable dans la mesure où le recourant a, de manière suffisante, manifesté son désaccord avec la décision, ainsi que sa volonté qu’elle ne développe pas d’effets juridiques (ATA/844/2012 précité consid. 3 ; ATA/670/2010 précité consid. 2 ; Pierre MOOR/Étienne POLTIER, Droit administratif, vol. 2, 3ème éd., 2011 p. 624 n. 5.3.1.2).</w:t>
      </w:r>
    </w:p>
    <w:p>
      <w:r>
        <w:t>En l’espèce, Soka Gakkai, qui n’est pas représentée par un mandataire, n’a pas pris de conclusions explicites dans son acte de recours. Il découle toutefois implicitement de son courrier qu’elle demande l’annulation de la loi litigieuse.</w:t>
      </w:r>
    </w:p>
    <w:p>
      <w:r>
        <w:t>Son recours est recevable sur ce point également.</w:t>
      </w:r>
    </w:p>
    <w:p>
      <w:r>
        <w:t>- 10/18 - A/2996/2014 7)</w:t>
      </w:r>
    </w:p>
    <w:p>
      <w:r>
        <w:t>Enfin, la question de savoir si chacun des recourants dispose de la qualité pour recourir peut rester ouverte, Soka Gakkai, ainsi que la grande majorité des consorts en disposant à l’évidence, de par la situation de leurs parcelles ou demeures, qui se trouvent à proximité immédiate du périmètre litigieux (ATF 110 Ib 398 consid. 1b p. 400 ; ATA/197/2014 précité ; ATA/214/2007 du 8 mai 2007 ; ATA/101/2006 du 7 mars 2006 ; ATA/653/2002 du 5 novembre 2002 ; ATA/35/2002 du 15 janvier 2002 et les références citées).</w:t>
      </w:r>
    </w:p>
    <w:p>
      <w:r>
        <w:t>Les recours sont ainsi recevables, dans cette mesure. 8)</w:t>
      </w:r>
    </w:p>
    <w:p>
      <w:r>
        <w:t>Les consorts sollicitent la tenue d’un transport sur place pour que la chambre administrative puisse mieux mesurer les contraintes liées au site.</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La jurisprudence retient en outre que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w:t>
      </w:r>
    </w:p>
    <w:p>
      <w:r>
        <w:t>En l’espèce, les contraintes évoquées (proximité de la route de Suisse, étroitesse de la parcelle n° 5'223, importance du bruit routier, etc.) ressortent clairement du dossier et notamment des plans et préavis produits, complétés par les images directrices du site du système d’information du territoire genevois (SITG, consultable à l’adresse http://ge.ch/sitg). Il n’y a donc pas lieu de procéder à un transport sur place. 9)</w:t>
      </w:r>
    </w:p>
    <w:p>
      <w:r>
        <w:t>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w:t>
      </w:r>
    </w:p>
    <w:p>
      <w:r>
        <w:t>Le pouvoir d'examen juridictionnel à propos des décisions appliquant les principes essentiels d'aménagement du territoire doit être reconnu de façon assez</w:t>
      </w:r>
    </w:p>
    <w:p>
      <w:r>
        <w:t>- 11/18 - A/2996/2014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 chambre de céans une marge d'appréciation limitée seulement, en fin de compte, par l'excès ou l'abus (ATA/197/2014 du 1er avril 2014 consid. 9b et les arrêts cités).</w:t>
      </w:r>
    </w:p>
    <w:p>
      <w:r>
        <w:t>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(ATA/397/2009 du 25 août 2009 ; ATA/621/2004 du 5 août 2004 ; ATA/286/2004 du 6 avril 2004 et les références citées). À cet égard, le Tribunal fédéral a rappelé à plusieurs occasions que le Grand Conseil, en tant qu'autorité cantonale supérieure de planification, possède un large pouvoir d'appréciation (arrêts du Tribunal fédéral 1C_447/2009 du 22 mars 2010 ; 1C_161/2008 du 15 juillet 2008 consid. 2.2 ; 1P.444/2001 du 29 novembre 2001 consid. 3b/bb ; 1P.350/1998 du 27 septembre 2000 consid. 3).</w:t>
      </w:r>
    </w:p>
    <w:p>
      <w:r>
        <w:t>La chambre de céans ne peut donc revoir un plan d'affectation que sous l'angle de la légalité, son opportunité étant examinée au stade de l'opposition, le Grand Conseil ayant un plein pouvoir d'examen (ATA/397/2009 précité ; Jean-Charles PAULI, L'élargissement des compétences du Tribunal administratif [dont les compétences ont été reprises par la chambre de céans] en matière d'aménagement du territoire et ses premières conséquences sur la conduite des procédures à Genève, RDAF 2000, vol. I, p. 526 ; Thierry TANQUEREL, Le contentieux de l'aménagement du territoire, in 3ème journée du droit de la propriété, 2000, p. 10). Elle ne peut en particulier revoir le choix de l'autorité intimée de déclasser un terrain plutôt qu'un autre, et doit se borner à examiner si la solution adoptée est conforme à la loi (ATA/632/2011 du 11 octobre 2011). 10) 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et suivants LAT) et les zones à protéger (art. 17 LAT). Le droit cantonal peut prévoir d’autres zones d’affectation (art. 18 al. 1 LAT). Il peut régler le cas des territoires non affectés ou de ceux dont l’affectation est différée (art. 18 al. 2 LAT).</w:t>
      </w:r>
    </w:p>
    <w:p>
      <w:r>
        <w:t>À teneur de l’art. 12 LaLAT, pour déterminer l’affectation du sol sur l’ensemble du territoire cantonal, celui-ci est réparti en zones, dont les périmètres sont fixés par des plans annexés à la LaLAT (al. 1). Les zones instituées à l’al. 1</w:t>
      </w:r>
    </w:p>
    <w:p>
      <w:r>
        <w:t>- 12/18 - A/2996/2014 sont de 3 types : a) les zones ordinaires b) les zones de développement et c) les zones protégées (al. 2). 11) Parmi les zones ordinaires figurent les zones à bâtir (art. 19 al. 1 à 7 LaLAT), la zone agricole (art. 20 et 21 LaLAT) ou la zone des bois et forêts (art. 23 LaLAT).</w:t>
      </w:r>
    </w:p>
    <w:p>
      <w:r>
        <w:t>La 4ème zone urbaine (ou zone 4A) est destinée principalement aux maisons d’habitation, comportant en principe plusieurs logements, mais elle peut aussi abriter des activités, si celles-ci ne sont pas susceptibles de provoquer des nuisances ou des inconvénients graves pour le voisinage ou le public (art. 19 al. 2 LaLAT). La 5ème zone est une zone résidentielle destinée aux villas (art. 19 al. 3 LaLAT). 12) La zone de protection des rives du lac, instituée par la loi sur la protection générale des rives du lac du 4 décembre 1992 (LPRLac - L 4 10), est une zone à protéger au sens des art. 17 LAT et 29 LaLAT. Elle ne prive pas pour autant les parcelles classées en zone 5 et situées dans son périmètre, de leur affectation en zone à bâtir (art. 7 a contrario LPRLac, notamment). 13) Les zones de développement, et notamment la zone de développement 4A sont régies par la loi générale sur les zones de développement du 29 juin 1957 (LGZD - L 1 35). À l’intérieur de leur périmètre, le Conseil d’État peut, en vue de la délivrance d’une autorisation de construire, autoriser le département à faire application des normes résultant de la zone de développement, en lieu et place de celles de la zone à laquelle elle se substitue (art. 12 al. 4 LaLAT).</w:t>
      </w:r>
    </w:p>
    <w:p>
      <w:r>
        <w:t>En l’espèce, la loi contestée a affecté les parcelles litigieuses en zone de développement 4A, sur une zone de fond 5, sur laquelle se superposait, pour partie, la zone protégée des rives du lac.</w:t>
      </w:r>
    </w:p>
    <w:p>
      <w:r>
        <w:t>En substituant la zone de développement 4A à de la zone 5, et en retirant cette nouvelle zone du périmètre protégé par la LPRLac, la loi litigieuse ne crée pas une nouvelle zone à bâtir. Cette mesure d’aménagement du territoire consiste en un changement d’affectation qui n’est pas visé par l’exigence du respect des valeurs de planification (ATA/197/2014 du 1er avril 2014 consid. 15c ; ATA/712/2013 du 29 octobre 2013 consid. 10 ; ATA/632/2011 du 11 octobre 2011 consid. 13). Les prescriptions posées par les art. 22 LPE (permis de construire dans les zones affectées par le bruit) et 31 OPB (permis de construire dans des secteurs exposés au bruit) ne sont en principe pas pertinentes, comme l’indiquent d’ailleurs clairement leurs intitulés. C’est au niveau des PLQ seulement ou à celui de la planification spéciale, lorsque celle-ci est suffisamment détaillée pour que puissent être appréhendées de manière précise les nuisances environnementales en résultant, que l’exigence du respect des valeurs de planification doit être dûment vérifiée et garantie, moyennant une analyse précise</w:t>
      </w:r>
    </w:p>
    <w:p>
      <w:r>
        <w:t>- 13/18 - A/2996/2014 de toutes les nuisances sonores susceptibles d’affecter le secteur en cause (ATA/197/2014 précité ; ATA/712/2013 précité et la jurisprudence citée).</w:t>
      </w:r>
    </w:p>
    <w:p>
      <w:r>
        <w:t>Lors de la modification des plans d’affectation tel que celui d’espèce, les art. 43 (degrés de sensibilité) et 44 al. 2 OPB, ainsi que l’art. 15 al. 1 et 2 de la loi d'application de la loi fédérale sur la protection de l'environnement du 2 octobre 1997 (LaLPE - K 1 70), imposent à l’autorité d’exécution l’obligation de leur attribuer un DS, lequel a pour fonction d’indiquer le niveau de protection de la zone contre les immissions sonores générées par des installations situées à l’intérieur ou à l’extérieur de la zone. Au niveau du plan d’affectation général, l’autorité de planification doit uniquement s’assurer que la charge sonore affectant d’ores et déjà le secteur concerné ne rend pas celui-ci totalement impropre à l’affectation prévue.</w:t>
      </w:r>
    </w:p>
    <w:p>
      <w:r>
        <w:t>En l’espèce, l’art. 2 de la loi entreprise attribue un DS IIIdII et II aux biens- fonds compris dans le périmètre concerné, reprenant en cela les conclusions de l’étude acoustique citée ci-dessus. Dans son préavis, le SPBR retient que les VLI seront toujours dépassées par endroits, mais que les mesures d’isolation phoniques prévues (travaux d’isolation routiers, isolation des fenêtres) et les mesures architecturales (orientation des bâtiments, disposition des pièces, etc) pourraient néanmoins rendre possible la construction de logements. Cette question devra être examinée au stade de la mise en œuvre du plan d’affectation (soit au stade du plan localisé de quartier ou de l’autorisation de construire). En effet, si la construction de logements ne s’avère pas possible dans le futur, en raison de ces nuisances sonores, d’autres activités conformes à la zone pourraient y prendre place. Il n’est donc pas possible de soutenir qu’en raison des seules nuisances sonores, le secteur concerné est incompatible avec la zone de développement 4A.</w:t>
      </w:r>
    </w:p>
    <w:p>
      <w:r>
        <w:t>L’interdiction de construire au bord des routes cantonales sur une profondeur de 25m (art. 11 al. 2 de la loi sur les routes du 28 avril 1967 - Lroutes - L 1 10), en l’absence de plan d’alignement, est problématique en l’état, s’agissant de la parcelle propriété de la fondation communale, mais l’obtention d’une dérogation fondée sur l’art. 11 al. 3 LRoutes (les conditions locales font apparaître que l’interdiction de construire découlant de l’art. 11 al. 2 LRoutes ne repose sur aucun motif pertinent d’aménagement du territoire), n’est pas a priori impossible, notamment s’agissant de constructions abritant des activités, compatibles avec la zone 4A. Cette restriction légale frappait déjà ce terrain lorsqu’il était classé en zone 5 et la nouvelle affectation n’a rien changé de ce point de vue.</w:t>
      </w:r>
    </w:p>
    <w:p>
      <w:r>
        <w:t>En outre, la zone considérée vient s’agréger à la zone de développement 4A qui s’étend déjà sur toute la partie ouest de la route suisse à cet endroit et étend, à l’est de celle-ci, la zone de développement 4A d’ores et déjà régie par un PLQ (PLQ n° 28'546).</w:t>
      </w:r>
    </w:p>
    <w:p>
      <w:r>
        <w:t>- 14/18 - A/2996/2014 14) Les recourants contestent la conformité de la loi litigieuse aux PDC 2015 et 2030.</w:t>
      </w:r>
    </w:p>
    <w:p>
      <w:r>
        <w:t>Le PDC 2030, adopté le 20 septembre 2013 par le Grand Conseil a été approuvé par le Conseil fédéral le 29 avril 2015. C’est donc lui qui est désormais applicable. La fiche 2.03 de ce document prévoit la densification de la zone villa, en particulier dans le zones bien desservies en transports publics, telles que la zone litigieuse. Certes, la possibilité de construire des logements apparaît limitée. Cependant, qu’elles abritent des logements ou des bâtiments dévolus aux activités (commerces, par exemple), dont la construction apparaîtrait nécessaire en raison de la densification de la zone 5 voisine ou du développement de la ville de Versoix, les parcelles sont situées dans un lieu central dont le PDC 2030 préconise, dans son principe, la densification, ainsi qu’il résulte de la carte n° 1 du schéma directeur cantonal du PDC 2030, qui inclut, à tire exemplatif, les parcelles en question dans la zone 4A.</w:t>
      </w:r>
    </w:p>
    <w:p>
      <w:r>
        <w:t>Le déclassement litigieux respecte ainsi pleinement le PDC.</w:t>
      </w:r>
    </w:p>
    <w:p>
      <w:r>
        <w:t>Ce grief sera écarté. 15) La conformité de la loi entreprise au PDCom est également contestée.</w:t>
      </w:r>
    </w:p>
    <w:p>
      <w:r>
        <w:t>Selon l’art. 10 LaLAT, les PDCom sont des plans directeurs localisés dont le périmètre recouvre la totalité du territoire d’une ou plusieurs communes (art. 10 al. 2 1ère phrase LaLAT). Selon la volonté du législateur, les plans directeurs localisés ont le caractère d’un outil de travail consensuel liant les autorités entre elles (Exposé des motifs du PL 8548 ayant mené à l'adoption de l'art. 10 LaLAT - MGC 2001 - 2002, 41/VIII 7366). Le PDCom adopté par une commune et approuvé par le Conseil d'État a force obligatoire pour ces autorités (art. 10 al. 8 LaLAT).</w:t>
      </w:r>
    </w:p>
    <w:p>
      <w:r>
        <w:t>Le Grand Conseil, qui n’est pas une autorité administrative mais l’organe législatif cantonal (art. 1 al. 1 de la loi portant règlement du Grand Conseil de la République et canton de Genève du 13 septembre 1985 ; LRGC - B 1 01 ; art. 5 LPA a contrario), n’est pas lié par ce document et peut s’en écarter par l’adoption d’une loi formelle modifiant les limites de zones du territoire cantonal.</w:t>
      </w:r>
    </w:p>
    <w:p>
      <w:r>
        <w:t>Il n’en demeure pas moins que lors de la mise en œuvre de cette loi d’aménagement, le Conseil d’État, comme le département, devront respecter le PDCom. La conformité à ce document des constructions envisagées (par un plan localisé de quartier notamment) ou autorisées pourra alors être contrôlée par la juridiction de céans.</w:t>
      </w:r>
    </w:p>
    <w:p>
      <w:r>
        <w:t>A ce stade, ce grief ne peut qu’être rejeté.</w:t>
      </w:r>
    </w:p>
    <w:p>
      <w:r>
        <w:t>- 15/18 - A/2996/2014 16) Les recourants se prévalent d’une violation du plan de protection des rives du lac.</w:t>
      </w:r>
    </w:p>
    <w:p>
      <w:r>
        <w:t>Les arguments des recourants liés à la stabilité du plan de protection des rives du lac se heurtent aux mêmes motifs, le Grand Conseil pouvant, en vertu de son pouvoir législatif, modifier le périmètre de protection de ce plan, annexé à la LPRLac – au demeurant âgé de vingt ans - par une modification de ladite loi. La modification litigieuse va dans le sens d’une densification des zones à bâtir déjà existantes, telle que récemment préconisée par le législateur fédéral dans le but de protéger la zone agricole, les sites naturels et les zones de bois et forêts (révision de la LAT entrée en vigueur le 1er mai 2014 ; sur les objectifs de cette révision : cf. http://www.are.admin.ch/themen/recht/00820/05406/index.html?lang=fr, consulté le 11 août 2015) et le PDC 2030 17) Les recourants allèguent que la place Bordier a été intégrée de manière artificielle dans le périmètre litigieux, car aucun projet de construction la concernant n’était envisagé à court, moyen ou long terme.</w:t>
      </w:r>
    </w:p>
    <w:p>
      <w:r>
        <w:t>Le Grand Conseil explique avoir procédé de cette manière dans le but d’augmenter le potentiel constructible de la parcelle propriété de la fondation par un report des droits à bâtir. D’un point de vue légal, du moment que la parcelle abritant la place Bordier remplit elle-même les conditions pour être classée en zone 4A, la loi n’interdit pas au Grand Conseil de procéder de la sorte. La question de savoir si ce report pourra effectivement être opéré, en dépit des contraintes du lieu, n’a pas à être examinée à ce stade de la planification.</w:t>
      </w:r>
    </w:p>
    <w:p>
      <w:r>
        <w:t>Ce grief sera ainsi rejeté. 18) Les recourants se plaignent que les préavis consultatifs de la CU et de la CMNS n’ont pas été suivis.</w:t>
      </w:r>
    </w:p>
    <w:p>
      <w:r>
        <w:t>Il faut reconnaître avec le Grand Conseil que les arguments à l’appui duquel ces deux autorités s’opposent au projet, concernent davantage les aménagements futurs que leur affectation en zone de développement. La CMNS semble attachée à la Place Bordier, comme place ponctuant la route de Suisse, ainsi qu’aux chemins Isaac-Machard et du Vieux-Port, comme faisant partie des éléments significatifs du patrimoine naturel et culturel du canton. La modification des limites de zone litigieuse ne porte pas, en elle-même, atteinte à ces aménagements, qui sont d’ores et déjà situé en zone 5, et donc théoriquement susceptibles d’être construits. Il appartiendra à la CMNS de faire valoir la valeur patrimoniale de ces lieux lors de la mise en œuvre du plan d’affectation litigieux.</w:t>
      </w:r>
    </w:p>
    <w:p>
      <w:r>
        <w:t>Quant à la CU, elle a clairement dit que ses objections devaient être séparées de la question de la modification des limites de zone, le lieu étant, de son point de vue, plus adapté à des activités qu’au logement, ce qui n’est pas incompatible avec</w:t>
      </w:r>
    </w:p>
    <w:p>
      <w:r>
        <w:t>- 16/18 - A/2996/2014 la zone 4A. Certes, une vision d’ensemble eût pu paraître préférable, mais le choix du Grand Conseil ne saurait être jugé comme arbitraire pour le seul motif qu’il a renoncé à celle-ci.</w:t>
      </w:r>
    </w:p>
    <w:p>
      <w:r>
        <w:t>Les arguments de Soka Gakkai - qui relève la qualité patrimoniale de son bâtiment - devront être formulés, cas échéant, dans la procédure d’autorisation de construire. En effet, à elle seule, la modification des limites de zone ne porte pas atteinte à la qualité historique et patrimoniale du lieu, qui peut être préservée par des constructions respectueuses de l’environnement dans lequel elles prendront place. 19) Enfin, la loi litigieuse ne remettant pas en cause les servitudes existant sur les parcelles incluses dans son périmètre, les griefs portant sur ce point seront écartés. 20) Au vu de ce qui précède, le recours sera rejeté. 21) Deux émoluments séparés de CHF 2'000.- et de CHF 500.- seront mis à la charge respective des consorts et de Soka Gakkai Suisse.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