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ATA/805/2016 vom 27. September 2016</w:t>
      </w:r>
    </w:p>
    <w:p>
      <w:r>
        <w:t>GE Cour de justice, 2016-09-27, FR</w:t>
      </w:r>
    </w:p>
    <w:p>
      <w:r>
        <w:rPr>
          <w:b/>
        </w:rPr>
        <w:t xml:space="preserve">Quelle: </w:t>
      </w:r>
      <w:r>
        <w:t>https://mcp.opencaselaw.ch/entscheid/ge_gerichte_ATA_805_2016</w:t>
      </w:r>
    </w:p>
    <w:p>
      <w:r>
        <w:t>FR: GE_GERICHTE ATA/805/2016 du 27 septembre 2016</w:t>
      </w:r>
    </w:p>
    <w:p>
      <w:r>
        <w:t>IT: GE_GERICHTE ATA/805/2016 del 27 settembre 2016</w:t>
      </w:r>
    </w:p>
    <w:p>
      <w:pPr>
        <w:pStyle w:val="Heading2"/>
      </w:pPr>
      <w:r>
        <w:t>Erwägungen</w:t>
      </w:r>
    </w:p>
    <w:p>
      <w:r>
        <w:rPr>
          <w:b/>
        </w:rPr>
        <w:t>E. 1</w:t>
      </w:r>
    </w:p>
    <w:p>
      <w:r>
        <w:t>Interjeté en temps utile devant la juridiction compétente, le recours est recevable de ces points de vue (art. 41 du règlement sur l'intégration des enfants et des jeunes à besoins éducatifs particuliers ou handicapés du 21 septembre 2011 - RIJBEP - C 1 12.01 ; art. 132 de la loi sur l'organisation judiciaire du 26 septembre 2010 - LOJ - E 2 05 ; art. 62 al. 1 let. a et 63 al. 1 let. b de la loi sur la procédure administrative du 12 septembre 1985 - LPA - E 5 10).</w:t>
      </w:r>
    </w:p>
    <w:p>
      <w:r>
        <w:t>- 4/8 - A/2667/2016</w:t>
      </w:r>
    </w:p>
    <w:p>
      <w:r>
        <w:rPr>
          <w:b/>
        </w:rPr>
        <w:t>E. 2</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3</w:t>
      </w:r>
    </w:p>
    <w:p>
      <w:r>
        <w:t>En l’occurrence, même si les recourants ne formulent pas formellement des conclusions, on comprend qu’ils sollicitent l’annulation de la décision querellée et l’accès de leur fils à des prestations de pédagogie spécialisée. La motivation de leur recours, bien que très brève, est suffisante.</w:t>
      </w:r>
    </w:p>
    <w:p>
      <w:r>
        <w:t>Le recours est donc recevable.</w:t>
      </w:r>
    </w:p>
    <w:p>
      <w:r>
        <w:rPr>
          <w:b/>
        </w:rPr>
        <w:t>E. 4</w:t>
      </w:r>
    </w:p>
    <w:p>
      <w:r>
        <w:t>a. En vertu de l’art. 37 al. 1 de la loi sur l’instruction publique du</w:t>
      </w:r>
    </w:p>
    <w:p>
      <w:r>
        <w:rPr>
          <w:b/>
        </w:rPr>
        <w:t>E. 6</w:t>
      </w:r>
    </w:p>
    <w:p>
      <w:r>
        <w:t>Vu ce qui précède, le recours, infondé, sera rejeté.</w:t>
      </w:r>
    </w:p>
    <w:p>
      <w:r>
        <w:t>- 7/8 - A/2667/2016</w:t>
      </w:r>
    </w:p>
    <w:p>
      <w:r>
        <w:t>Compte tenu des circonstances particulières, il sera renoncé à la perception d’un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