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ATA/805/2014 vom 15. Oktober 2014</w:t>
      </w:r>
    </w:p>
    <w:p>
      <w:r>
        <w:t>GE Cour de justice, 2014-10-15, FR</w:t>
      </w:r>
    </w:p>
    <w:p>
      <w:r>
        <w:rPr>
          <w:b/>
        </w:rPr>
        <w:t xml:space="preserve">Quelle: </w:t>
      </w:r>
      <w:r>
        <w:t>https://mcp.opencaselaw.ch/entscheid/ge_gerichte_ATA_805_2014</w:t>
      </w:r>
    </w:p>
    <w:p>
      <w:r>
        <w:t>FR: GE_GERICHTE ATA/805/2014 du 15 octobre 2014</w:t>
      </w:r>
    </w:p>
    <w:p>
      <w:r>
        <w:t>IT: GE_GERICHTE ATA/805/2014 del 15 ottobre 2014</w:t>
      </w:r>
    </w:p>
    <w:p>
      <w:pPr>
        <w:pStyle w:val="Heading2"/>
      </w:pPr>
      <w:r>
        <w:t>Erwägungen</w:t>
      </w:r>
    </w:p>
    <w:p>
      <w:r>
        <w:rPr>
          <w:b/>
        </w:rPr>
        <w:t>E. 17</w:t>
      </w:r>
    </w:p>
    <w:p>
      <w:r>
        <w:t>juin 2005 (LTF - RS 173.110), la présente décision peut être portée dans les trente jours qui suivent sa notification par-devant le Tribunal fédéral, par la voie du recours en matière</w:t>
      </w:r>
    </w:p>
    <w:p>
      <w:r>
        <w:t>- 3/3 - A/1555/2014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à la commission de taxation des agents intermédiaires, ainsi qu’à Me Mourad Sekkiou, avocat de Madame B______.</w:t>
      </w:r>
    </w:p>
    <w:p>
      <w:r>
        <w:t>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