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ATA/804/2013 vom 10. Dezember 2013</w:t>
      </w:r>
    </w:p>
    <w:p>
      <w:r>
        <w:t>GE Cour de justice, 2013-12-10, FR</w:t>
      </w:r>
    </w:p>
    <w:p>
      <w:r>
        <w:rPr>
          <w:b/>
        </w:rPr>
        <w:t xml:space="preserve">Quelle: </w:t>
      </w:r>
      <w:r>
        <w:t>https://mcp.opencaselaw.ch/entscheid/ge_gerichte_ATA_804_2013</w:t>
      </w:r>
    </w:p>
    <w:p>
      <w:r>
        <w:t>FR: GE_GERICHTE ATA/804/2013 du 10 décembre 2013</w:t>
      </w:r>
    </w:p>
    <w:p>
      <w:r>
        <w:t>IT: GE_GERICHTE ATA/804/2013 del 10 dicembre 2013</w:t>
      </w:r>
    </w:p>
    <w:p>
      <w:pPr>
        <w:pStyle w:val="Heading2"/>
      </w:pPr>
      <w:r>
        <w:t>Erwägungen</w:t>
      </w:r>
    </w:p>
    <w:p>
      <w:r>
        <w:rPr>
          <w:b/>
        </w:rPr>
        <w:t>E. 12</w:t>
      </w:r>
    </w:p>
    <w:p>
      <w:r>
        <w:t>septembre 1985 - LPA - E 5 10). 2)</w:t>
      </w:r>
    </w:p>
    <w:p>
      <w:r>
        <w:t>Les recourants sollicitent une audience de comparution personnelle aux fins de démontrer que l'OLO les a assurés, lors de la signature de leur bail, de leur droit de bénéficier d'une allocation de logement. Ils souhaitent également prouver par ce biais que plus de 7'000 personnes sont en attente d'un logement social à Genève et qu'il est ainsi très difficile de changer d'appartement.</w:t>
      </w:r>
    </w:p>
    <w:p>
      <w:r>
        <w:t>Selon la jurisprudence fondée sur l’art. 29 al. 2 Cst., le droit d’être entendu comprend pour l’intéressé celui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1C_424/2009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2C_58/2010 du 19 mai 2010 consid. 4.3 ; 4A_15/2010 du 15 mars 2010 consid. 3.2 et les arrêts cités ; ATA/432/2008 du 27 août 2008).</w:t>
      </w:r>
    </w:p>
    <w:p>
      <w:r>
        <w:t>En l'espèce, les éléments que les recourants entendent prouver résultent du dossier ou ne sont pas contestés.</w:t>
      </w:r>
    </w:p>
    <w:p>
      <w:r>
        <w:t>La demande d'audition sera donc écartée. 3)</w:t>
      </w:r>
    </w:p>
    <w:p>
      <w:r>
        <w:t>Les recourants contestent la compatibilité de l'art. 23B al. 4 LGL avec différentes normes de rang constitutionnel.</w:t>
      </w:r>
    </w:p>
    <w:p>
      <w:r>
        <w:t>De jurisprudence constante, la chambre administrative est habilitée à revoir, à titre préjudiciel et à l’occasion de l’examen d’un cas concret, la conformité des normes de droit cantonal au droit fédéral (P. MOOR/A. FLUCKIGER/ V. MARTENET, Droit administratif, vol. 1, 3e éd., 2012, p. 346, n. 2.7.3.1 ; R. ZIMMERMANN, L’évolution récente du contrôle préjudiciel de la constitutionnalité des lois en droit genevois, RDAF 1988 p. 1 ss). Cette compétence découle du principe de la primauté du droit fédéral sur le droit des cantons, ancré à l’art. 49 al. 1er Cst. (ATA/532/2007 du 16 octobre 2007 consid. 4a et les arrêts cités). D’une manière générale, les lois cantonales ne doivent rien contenir de contraire à la Cst., aux lois et ordonnances du droit fédéral (ATF 127 I 185 consid. 2 p. 187 ; ATA/500/2005 du 19 juillet 2005 consid. 6 ;</w:t>
      </w:r>
    </w:p>
    <w:p>
      <w:r>
        <w:t>- 6/12 - A/2010/2013 ATA/572/2003 du 23 juillet 2003 consid. 9 ; A. AUER/ G. MALINVERNI/ M. HOTTELIER, Droit constitutionnel suisse, 2ème édition, vol. 1, Berne 2006, p. 794 n. 2280 ss). Le contrôle préjudiciel permet de déceler et de sanctionner la violation par une loi ou une ordonnance cantonales des droits garantis aux citoyens par le droit supérieur. Toutefois, dans le cadre d'un contrôle concret, seule la décision d'application de la norme viciée peut être annulée (P. MOOR/ A. FLUCKIGER/V. MARTENET, op. cit, p. 323, n. 2.7.2.1). 4)</w:t>
      </w:r>
    </w:p>
    <w:p>
      <w:r>
        <w:t>Aux termes de l'art. 39A al. 4 LGL, le cumul entre l'allocation de logement et les prestations complémentaires est exclu.</w:t>
      </w:r>
    </w:p>
    <w:p>
      <w:r>
        <w:t>a. D'après les recourants, cette disposition violerait notamment l'interdiction de la discrimination ancrée à l'art. 8 Cst. qui dispose que tous les êtres humains sont égaux devant la loi et que nul ne doit subir de discrimination du fait notamment de sa situation sociale, de son mode de vie ou d'une déficience corporelle, mentale ou psychique (art. 8 al. 1 et 2 Cst.), car elle favoriserait les salariés par rapport aux bénéficiaires des prestations complémentaires. La discrimination ne provenant que de l'origine des revenus, la différence de traitement ne reposerait pas sur un motif objectif admissible.</w:t>
      </w:r>
    </w:p>
    <w:p>
      <w:r>
        <w:t>b. Selon la jurisprudence, une décision ou un arrêté viole le principe de l’égalité de traitement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138 V 176 consid. 8.2 p. 183 ; 131 I 1 consid. 4.2 p. 6/7 ; 129 I 346 consid. 6 p. 357 ss ; V. MARTENET, Géométrie de l'égalité, 2003, p. 260 ss). 5) a. Selon l'art. 39A al. 1 LGL, si le loyer d’un immeuble admis au bénéfice de la présente loi (HBM, HLM et HM notamment ; art. 16 al. 1 let. a, b et d LGL) constitue pour le locataire une charge manifestement trop lourde, eu égard à son revenu et à sa fortune, et si un échange avec un logement moins onéreux ne peut se réaliser sans inconvénients majeurs, ce locataire peut être mis au bénéfice d’une allocation de logement.</w:t>
      </w:r>
    </w:p>
    <w:p>
      <w:r>
        <w:t>b. Cette allocation est allouée du 1er avril de chaque année au 31 mars de l’année suivante (art. 28 al. 1 RGL).</w:t>
      </w:r>
    </w:p>
    <w:p>
      <w:r>
        <w:t>c. Elle est proportionnelle au revenu, et vise à ramener le taux d’effort des bénéficiaires aux niveaux fixés à l’art. 21 RGL (par exemple : 26 % pour l’occupation d’un logement d’une pièce de plus que le nombre de personnes, art.</w:t>
      </w:r>
    </w:p>
    <w:p>
      <w:r>
        <w:t>- 7/12 - A/2010/2013 21 al. 1 let. a RGL). Elle s’élève au maximum à CHF 1'000.- la pièce par an et ne peut dépasser la moitié du loyer effectif (art. 24 al. 2 RGL). 6)</w:t>
      </w:r>
    </w:p>
    <w:p>
      <w:r>
        <w:t>Elle se distingue de la subvention personnalisée accordée à certaines conditions aux locataires d'un logement situé dans un immeuble d'habitation mixte (HM ; art. 23B LGL). 7)</w:t>
      </w:r>
    </w:p>
    <w:p>
      <w:r>
        <w:t>Le cumul entre cette dernière subvention et les prestations complémentaires est exclu par la LGL, à l'instar du cumul litigieux (art. 23B al. 4 LGL). 8)</w:t>
      </w:r>
    </w:p>
    <w:p>
      <w:r>
        <w:t>Il en va de même du cumul entre la subvention personnalisée et l'allocation de logement (art. 23B al. 3 LGL). 9)</w:t>
      </w:r>
    </w:p>
    <w:p>
      <w:r>
        <w:t>Les prestations complémentaires sont régies notamment par la loi fédérale sur les prestations complémentaires à l'AVS et à l'AI du 6 octobre 2006 (LPC - RS 831.30), dont l'art. 2 dispose qu'elles ont pour but la couverture des besoins vitaux.</w:t>
      </w:r>
    </w:p>
    <w:p>
      <w:r>
        <w:t>Cette loi est complétée et mise en œuvre par la loi sur les prestations cantonales complémentaires à l’assurance-vieillesse et survivants et à l’assurance- invalidité du 25 octobre 1968 (LPCC - J 4 25) dont les prestations sont supérieures à celles octroyées par la LPC ; art. 2 al. 2 LPC et 1ss LPCC). 10) Le cercle des bénéficiaires des PCF est fixé à l'art. 4 LPC. Y ont droit notamment les personnes majeures qui perçoivent une rente de vieillesse ou d'invalidité (ci-après : rentes AVS ou AI) si elles ont leur domicile et leur résidence habituelle en Suisse (art. 4 al. 1 et art. 6 LPC).</w:t>
      </w:r>
    </w:p>
    <w:p>
      <w:r>
        <w:t>Le droit aux PCC est plus restreint. Ainsi, le bénéficiaire suisse d'une rente AVS ou AI ne peut-il y prétendre s'il n'a pas été domicilié sur le territoire Suisse ou dans un Etat membre de l'Association européenne de libre-échange ou de l'Union européenne au moins cinq ans durant les sept dernières années précédant la demande (art. 2 al. 2 LPCC). 11) Dans le système des PC, le montant de la prestation complémentaire annuelle correspond à la part des dépenses reconnues qui excède les revenus déterminants (art. 9 al. 1 LPC et 15 LPCC).</w:t>
      </w:r>
    </w:p>
    <w:p>
      <w:r>
        <w:t>a. Dans le cadre des PCF, ces dépenses sont principalement : un montant destiné à la couverture des besoins vitaux correspondant au forfait fixé à l'art. 9 al.1 let.a LPC - dont la hauteur dépend du nombre de personnes composant le groupe familial - et le loyer d'un appartement et les frais accessoires y relatifs, dont le montant est plafonné à CHF 13'200.- pour les personnes seules et à CHF 15'000.- par an pour les couples avec ou sans enfants (art. 10 al. 1 let. b LPC).</w:t>
      </w:r>
    </w:p>
    <w:p>
      <w:r>
        <w:t>b. Au niveau cantonal, les dépenses reconnues sont plus élevées (forfait pour la couverture des besoins vitaux, art. 3 al. 1 du règlement relatif aux prestations cantonales complémentaires à l'assurance-vieillesse et survivants et à l’assurance- invalidité - RPCC - J 4 25.03 ; forfait pour dépenses personnelles, art. 3 al. 3</w:t>
      </w:r>
    </w:p>
    <w:p>
      <w:r>
        <w:t>- 8/12 - A/2010/2013 RPCC p. ex.). En revanche, le forfait pour les dépenses de loyer est le même que celui fixé par le droit fédéral (art. 36F let. b LPCC a contrario). 12) Du droit aux PC découle tout un ensemble de droits sociaux complémentaires disséminés dans les lois spéciales, dont notamment les suivants.</w:t>
      </w:r>
    </w:p>
    <w:p>
      <w:r>
        <w:t>a. Selon l'art.14 LPC, les cantons remboursent aux bénéficiaires d'une prestation complémentaire annuelle les frais suivants de l'année civile en cours, s'ils sont dûment établis :</w:t>
      </w:r>
    </w:p>
    <w:p>
      <w:r>
        <w:t>- frais de traitement dentaire ;</w:t>
      </w:r>
    </w:p>
    <w:p>
      <w:r>
        <w:t>- frais d'aide, de soins et d'assistance à domicile ou dans d'autres structures ambulatoires ;</w:t>
      </w:r>
    </w:p>
    <w:p>
      <w:r>
        <w:t>- frais liés aux cures balnéaires et aux séjours de convalescence prescrits par un médecin ;</w:t>
      </w:r>
    </w:p>
    <w:p>
      <w:r>
        <w:t>- frais liés à un régime alimentaire particulier ;</w:t>
      </w:r>
    </w:p>
    <w:p>
      <w:r>
        <w:t>- frais de transport vers le centre de soins le plus proche ;</w:t>
      </w:r>
    </w:p>
    <w:p>
      <w:r>
        <w:t>- frais de moyens auxiliaires ;</w:t>
      </w:r>
    </w:p>
    <w:p>
      <w:r>
        <w:t>- frais payés au titre de la participation aux coûts selon l'art. 64 de la loi fédérale sur l’assurance-maladie du 18 mars 1994 (LAMal - RS 832.10 ; franchise, participation des assurés de 10 %).</w:t>
      </w:r>
    </w:p>
    <w:p>
      <w:r>
        <w:t>b.</w:t>
      </w:r>
    </w:p>
    <w:p>
      <w:r>
        <w:t>L'art. 20 al. 1 let. b de la loi d’application de la LAMal du 29 mai 1997 (LaLAMal - J 3 05) accorde aux assurés bénéficiaires des PC un droit à des subsides pour tous les membres de la famille correspondant au montant de leurs primes d'assurance obligatoire des soins si ce dernier ne dépasse pas la prime moyenne cantonale (art. 22 al. 6 LaLAMal).</w:t>
      </w:r>
    </w:p>
    <w:p>
      <w:r>
        <w:t>c. Les bénéficiaires de prestations complémentaires familiales soit exclusivement des personnes ne pouvant prétendre à des prestations complémentaires fédérales ou à des prestations complémentaires cantonales (art. 36C al. 1 LPCC) ont droit au remboursement des frais, dûment établis, qu'ils ont engagés pour la garde des enfants âgés de moins de 13 ans et pour les frais de soutien scolaire des enfants âgés de moins de 16 ans, dans la mesure où ils supportent eux-mêmes ces frais (art. 36G LPCC).</w:t>
      </w:r>
    </w:p>
    <w:p>
      <w:r>
        <w:t>d. Sur demande, ils sont exonérés de l'obligation de payer la redevance de réception de la radio et de la télévision (art. 64 al. 1 de l'ordonnance sur la radio et la télévision du 9 mars 2007 (ORTV - RS 784.401).</w:t>
      </w:r>
    </w:p>
    <w:p>
      <w:r>
        <w:t>e. Ils bénéficient d'une aide sociale ramenant à CHF 66.- pour chacun des membres du groupe familial l'abonnement unireso annuel des transports publics genevois (art. 17 LPCC et 7A al. 1 RPCC).</w:t>
      </w:r>
    </w:p>
    <w:p>
      <w:r>
        <w:t>- 9/12 - A/2010/2013</w:t>
      </w:r>
    </w:p>
    <w:p>
      <w:r>
        <w:t>f. Enfin, les revenus qu'ils perçoivent en vertu de la LPC et de la LPCC sont exonérés d'impôts (art. 27 let. i de la loi sur l’imposition des personnes physiques du 27 septembre 2009 (LIPP - D 3 08)). 13) La pluralité des prestations et des lois applicables aux bénéficiaires de PC démontre que la couverture des besoins vitaux de ces personnes est considérée de manière globale et consolidée par les lois susmentionnées. Il s'agit d'un régime « intégral » dans lequel l'ensemble des besoins des ménages est appréhendé. Le choix opéré par les législateurs fédéral et cantonal de fixer un forfait pour les dépenses du loyer, avec le risque que celui-ci soit inférieur aux dépenses effectives, ne rend pas inconstitutionnelle l'interdiction du cumul figurant à l'art. 23B al. 4 LGL qui provient du fait que le régime légal des PC se suffit à lui-même et qu'il n'a pas besoin de l'apport d'autres prestations catégorielles (parmi lesquelles sont classées les allocations de logement et les subventions personnalisées HM ; art. 13 al. 1 let. a ch. 2 LRD) pour assurer la couverture des besoins vitaux des personnes concernées. 14) La situation des bénéficiaires de PC ne saurait ainsi être comparée à celle des bénéficiaires potentiels d'une allocation de logement ou d'une subvention personnalisée HM (notamment les salariés) qui ne bénéficient pas des mêmes prestations sociales et qui sont traités de manière totalement différente par la loi (revenus imposables, allocations de subsides pour les primes d'assurance-maladie dépendant de leur revenu, absence de prise en charge des traitements dentaires ou de la participation aux coûts de 10 % prévue par la LAMal, absence d'exonération de la redevance radio et télévisuelle, absence de réduction d'abonnement Unireso pour les membres de la famille, etc).</w:t>
      </w:r>
    </w:p>
    <w:p>
      <w:r>
        <w:t>Le grief d'inégalité de traitement sera ainsi rejeté. 15) Par ailleurs, les PCC accordant davantage que les moyens indispensables pour mener une existence conforme à la dignité humaine au sens visé par l'art. 12 Cst., cette disposition n'est pas non plus violée. 16) Il en va de même du droit au logement qui n'est pas menacé dans sa substance par la décision attaquée, même si celle-ci rend plus importante la participation des recourants au paiement de leur loyer et réduit sensiblement leurs moyens d'existence.</w:t>
      </w:r>
    </w:p>
    <w:p>
      <w:r>
        <w:t>Sur le fond, la décision entreprise est dès lors conforme à la loi, sans qu’il ne soit nécessaire de déterminer si le droit au logement, garanti par l’art. 38 de la Constitution de la République et canton de Genève du 14 octobre 2012 (Cst-GE A 2 00), peut être invoqué en justice. 17) Les recourants se prévalent d'une violation du principe de la bonne foi. Ils allèguent qu'ils n'auraient pas décidé de changer de logement en mars 2010 s'ils n'avaient reçu l'assurance de l'OLO qu'ils pourraient bénéficier d'une allocation de logement.</w:t>
      </w:r>
    </w:p>
    <w:p>
      <w:r>
        <w:t>- 10/12 - A/2010/2013</w:t>
      </w:r>
    </w:p>
    <w:p>
      <w:r>
        <w:t>a. Le principe de la bonne foi protège, à certaines conditions, les administrés contre les renseignements erronés de l'administration.</w:t>
      </w:r>
    </w:p>
    <w:p>
      <w:r>
        <w:t>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p. 193; 137 I 69 consid. 2.5.1 ; 131 II 627 consid. 6.1 p. 637 et les arrêts cités ; Arrêts du Tribunal fédéral 1C_151/2012 du 5 juillet 2012 consid. 4.2.1; 2C_1023/2011du 10 mai 2012 consid. 5).</w:t>
      </w:r>
    </w:p>
    <w:p>
      <w:r>
        <w:t>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(ATF 137 et 131 précités ; ATA/811/2012 du 27 novembre 2012 consid. 2.a ; ATA/398/2012 du 26 juin 2012 consid. 8 ; P. MOOR/A. FLÜCKIGER/V. MARTENET, Droit administratif 2012, Vol. 1, 3ème éd. p. 922 ss, n. 6.4.1.2 et 6.4.2.1 ; T. TANQUEREL, Manuel de droit administratif, 2011, p. 196 s, n. 578 s ; G. MÜLLER/U. HÄFELIN/ F.UHLMANN, Allgemeines Verwaltungsrecht, 2010, 6ème éd., p. 140ss et p. 157 n. 696 ; A. AUER/ G. MALINVERNI/ M. HOTTELIER, Droit constitutionnel suisse, Berne 2006, Vol. 2, 2ème éd., p. 546, n. 1165 ss).</w:t>
      </w:r>
    </w:p>
    <w:p>
      <w:r>
        <w:t>En l'espèce, les recourants ont reçu l'assurance de la part de l'OLO qu'ils auraient droit à une allocation de logement en 2010, lors de leur emménagement dans leur appartement actuel. Cette promesse a été exécutée, puisqu'ils ont perçu l'aide en question - dont le droit est réévalué chaque année en vertu de l'art. 28 al. 1 RGL - jusqu'au 31 mars 2013, soit pendant près de trois ans. Ils ne prétendent pas avoir reçu d'assurance formelle sur la pérennité de cette allocation au-delà de cette échéance. En outre, leur candidature à ce logement a été examinée par l'OLO avant la publication de l'arrêté du Conseil d'Etat du 16 mars 2010 fixant l'entrée en vigueur de l'art. 23B LGL au 1er avril 2013.</w:t>
      </w:r>
    </w:p>
    <w:p>
      <w:r>
        <w:t>Les conditions d'application du principe de la bonne foi ne sont ainsi pas réunies. 18) Le recours sera ainsi rejeté. 19) Vu les circonstances de la cause et la proximité de celle-ci avec le domaine des prestations complémentaires, il ne sera pas perçu d'émolument ni alloué</w:t>
      </w:r>
    </w:p>
    <w:p>
      <w:r>
        <w:t>- 11/12 - A/2010/2013 d'indemnité (art. 87 LPA et 11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