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ATA/802/2022 vom 15. August 2022</w:t>
      </w:r>
    </w:p>
    <w:p>
      <w:r>
        <w:t>GE Cour de justice, 2022-08-15, FR</w:t>
      </w:r>
    </w:p>
    <w:p>
      <w:r>
        <w:rPr>
          <w:b/>
        </w:rPr>
        <w:t xml:space="preserve">Quelle: </w:t>
      </w:r>
      <w:r>
        <w:t>https://mcp.opencaselaw.ch/entscheid/ge_gerichte_ATA_802_2022</w:t>
      </w:r>
    </w:p>
    <w:p>
      <w:r>
        <w:t>FR: GE_GERICHTE ATA/802/2022 du 15 août 2022</w:t>
      </w:r>
    </w:p>
    <w:p>
      <w:r>
        <w:t>IT: GE_GERICHTE ATA/802/2022 del 15 agosto 2022</w:t>
      </w:r>
    </w:p>
    <w:p>
      <w:pPr>
        <w:pStyle w:val="Heading2"/>
      </w:pPr>
      <w:r>
        <w:t>Erwägungen</w:t>
      </w:r>
    </w:p>
    <w:p>
      <w:r>
        <w:rPr>
          <w:b/>
        </w:rPr>
        <w:t>E. 11</w:t>
      </w:r>
    </w:p>
    <w:p>
      <w:r>
        <w:t>mai 2021 consid. 3.1 ; 1C_654/2018 du 25 mars 2019 consid. 3.1).</w:t>
      </w:r>
    </w:p>
    <w:p>
      <w:r>
        <w:t>- 5/9 - A/2429/2022 4) a. En droit administratif genevois, l'art. 15A LPA prévoit que les juges doivent notamment se récuser s'ils ont un intérêt personnel dans la cause (let. a) ; s'ils ont agi dans la même cause à un autre titre, notamment comme membre d'une autorité, comme conseil juridique d'une partie, comme expert, comme témoin ou comme médiateur (let. b) ; s’ils sont conjoints, ex-conjoints, partenaires enregistrés ou ex-partenaires enregistrés d’une partie, de son représentant ou d’une personne qui a agi dans la même cause comme membre de l’autorité précédente ou mènent de fait une vie de couple avec l’une de ces personnes (let. c) ; s’ils sont parents ou alliés en ligne directe ou jusqu’au troisième degré en ligne collatérale d’une partie (let. d) ; s’ils sont parents ou alliés en ligne directe ou au deuxième degré en ligne collatérale d’un représentant d’une partie ou d’une personne qui a agi dans la même cause comme membre de l’autorité précédente (let. e) ;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w:t>
      </w:r>
    </w:p>
    <w:p>
      <w:r>
        <w:t>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 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w:t>
      </w:r>
    </w:p>
    <w:p>
      <w:r>
        <w:t>- 6/9 - A/2429/2022</w:t>
      </w:r>
    </w:p>
    <w:p>
      <w:r>
        <w:t>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w:t>
      </w:r>
    </w:p>
    <w:p>
      <w:r>
        <w:t>c. Ainsi, même à l'aune de l'art. 30 Cst., seules les erreurs particulièrement graves des devoirs du magistrat et dénotant en outre objectivement que celui-ci est prévenu, justifient de retenir sa partialité (ATF 138 IV 142 consid. 2.3 ; arrêt du Tribunal fédéral 9C_761/2020 du 8 février 2021 consid. 5.2.2). 6) a. La chambre administrative est l’autorité supérieure ordinaire de recours en matière administrative (art. 132 al. 3 1ère phr. de la loi sur l’organisation judiciaire du 26 septembre 2010 - LOJ - E 2 05).</w:t>
      </w:r>
    </w:p>
    <w:p>
      <w:r>
        <w:t>b. Un juge délégué conduit la procédure et peut prendre seul les décisions incidentes y relatives ; il tient les audiences et procède aux transports sur place (art. 131 al. 3 LOJ). 7) a. La commission est l’autorité chargée de la surveillance des avocats qui pratiquent la représentation en justice dans le canton de Genève (art. 14 de la loi fédérale sur la libre circulation des avocats du 23 juin 2000 - LLCA - RS 935.61 ; art. 14 de la loi sur la profession d’avocat du 26 avril 2002 - LPAv - E 6 10). Elle est composée, conformément à l’art. 15 al. 1 LPAv, de neuf membres, soit trois membres nommés par les avocats inscrits au registre cantonal (let. a), trois membres nommés par le Grand Conseil (let. b) et trois membres nommés par le Conseil d’État (let. c). Deux des membres mentionnés aux let. b et c sont choisis parmi les magistrats de carrière du pouvoir judiciaire et deux au moins des autres membres sont choisis en dehors de la profession d’avocat (art. 15 al. 2 LPAv). Ces membres sont désignés tous les quatre ans (art. 16 al. 1 LPAv), en même temps que la désignation d’un nombre égal de suppléants, choisis selon les mêmes règles que les titulaires (art. 16 al. 2 LPAv).</w:t>
      </w:r>
    </w:p>
    <w:p>
      <w:r>
        <w:t>b. C'est l’art. 29 al. 1 Cst., selon lequel toute personne a droit, dans une procédure judiciaire ou administrative, à ce que sa cause soit traitée équitablement, qui est applicable lorsque l’impartialité des membres d’une autorité non judiciaire, à l’instar d’une autorité de surveillance des avocats, est invoquée (ATF 126 I 228 consid. 2c ; 137 II 425 consid. 3.1 ; arrêt du Tribunal fédéral 2C_931/2015 du 12 octobre 2016 consid. 5.2). La chambre de céans considère ainsi, dans sa jurisprudence, la commission comme un autorité administrative (ATA/812/2021 du 10 août 2021 consid. 4a), quand bien même elle a laissé ouverte la question de savoir si l'activité de la commission pouvait</w:t>
      </w:r>
    </w:p>
    <w:p>
      <w:r>
        <w:t>- 7/9 - A/2429/2022 être considérée comme juridictionnelle (ATA/886/2015 du 1er septembre 2015 consid. 7). Quoi qu'il en soit, la commission ne fait pas partie des juridictions du Pouvoir judiciaire (art. 1 LOJ a contrario).</w:t>
      </w:r>
    </w:p>
    <w:p>
      <w:r>
        <w:t>c. Les magistrats du Pouvoir judiciaire sont soumis à la surveillance du CSM (art. 17 LOJ). La LOJ ne définit pas les magistrats du Pouvoir judiciaire, mais selon la jurisprudence du Tribunal fédéral, dans la conception prévalant en droit constitutionnel genevois, la notion de magistrat de l'ordre judiciaire doit s'entendre de manière très large, comprenant tous les membres des juridictions, dès lors qu'il n'existe pas fondamentalement de différence de statut entre les juges professionnels et les assesseurs, l'ensemble des juges, quelle que soit leur fonction, ayant toujours, à Genève, été élus par le peuple (ATF 130 I 106 consid. 2.3). 8)</w:t>
      </w:r>
    </w:p>
    <w:p>
      <w:r>
        <w:t>En l'espèce, M. C______ étant un avocat siégeant au sein d'une autorité administrative, et non d'une juridiction du Pouvoir judiciaire, c'est à raison que le CSM a estimé ne pas être compétent. En revanche, ce n'est pas parce qu'elle a ouvert une procédure et l'a confiée à une juge déléguée que la chambre administrative a admis être compétente pour statuer sur la plainte du requérant à l'égard de M. C______.</w:t>
      </w:r>
    </w:p>
    <w:p>
      <w:r>
        <w:t>La juge déléguée n'a pour l'instant fait que donner – et prolonger – un délai pour répondre au recours, et confirmer au requérant qu'une telle prolongation n'emportait pas prolongation du délai pour verser l'avance de frais. Elle aurait certes pu s'enquérir d'emblée auprès du requérant de sa volonté de convertir sa plainte auprès du CSM en recours auprès de la chambre administrative, mais elle n'y était nullement tenue, étant rappelé que le délai pour recourir sur le fond n'était alors pas encore écoulé, et que ce délai a été mis à profit par le requérant pour déposer son acte de recours sur le fond le 11 juillet 2022. Le recours ayant été déposé au guichet, point n'était besoin d'en accuser réception formellement.</w:t>
      </w:r>
    </w:p>
    <w:p>
      <w:r>
        <w:t>Une demande d'avance de frais ayant déjà été envoyée au requérant, il n'y avait pas davantage lieu de lui en demander une autre, pas plus que d'en modifier le montant ou le délai de paiement. Rien n'empêchait par ailleurs le requérant, s'il estimait que sa demande de récusation de M. C______ ne faisait pas partie de son recours, d'en informer la juge déléguée. En revanche, il appartenait à celle-ci, de par la loi, de conduire la procédure, et le justiciable n'avait pas à mettre en demeure la chambre administrative de répondre à ses questions – ce qu'elle ne peut d'ailleurs, sur certains points tels que sa compétence, pas faire hors du cadre d'une décision ou d'un arrêt formels.</w:t>
      </w:r>
    </w:p>
    <w:p>
      <w:r>
        <w:t>On ne décèle dès lors dans le dossier aucune erreur procédurale de la part de la juge déléguée, et donc à plus forte raison aucune erreur lourde ou répétée pouvant justifier sa récusation. Par ailleurs, les accusations du requérant concernant un abus d'autorité au sens de l'art. 312 CP sont à tout le moins</w:t>
      </w:r>
    </w:p>
    <w:p>
      <w:r>
        <w:t>- 8/9 - A/2429/2022 inconvenantes, étant rappelé qu'accuser une personne d'avoir commis une infraction pénale alors que ladite personne n'a pas fait l'objet d'une condamnation pour ces faits est constitutif de diffamation voire de calomnie (ATF 132 IV 112 consid. 2 ; arrêt du Tribunal fédéral 6B_201/2009 du 10 juin 2009 consid. 2.2, précisément à propos d'une allégation d'abus d'autorité).</w:t>
      </w:r>
    </w:p>
    <w:p>
      <w:r>
        <w:t>La demande de récusation doit donc se voir rejetée, sans autre acte d'instruction conformément à l'art. 72 LPA. 9)</w:t>
      </w:r>
    </w:p>
    <w:p>
      <w:r>
        <w:t>Vu l'issue de la demande, un émolument de CHF 500.- sera mis à la charge du requérant, qui succombe (art. 87 al. 1 LPA), et aucune indemnité de procédure ne sera allouée (art. 87 al. 2 LPA – art. 6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