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ATA/802/2013 vom 10. Dezember 2013</w:t>
      </w:r>
    </w:p>
    <w:p>
      <w:r>
        <w:t>GE Cour de justice, 2013-12-10, FR</w:t>
      </w:r>
    </w:p>
    <w:p>
      <w:r>
        <w:rPr>
          <w:b/>
        </w:rPr>
        <w:t xml:space="preserve">Quelle: </w:t>
      </w:r>
      <w:r>
        <w:t>https://mcp.opencaselaw.ch/entscheid/ge_gerichte_ATA_802_2013</w:t>
      </w:r>
    </w:p>
    <w:p>
      <w:r>
        <w:t>FR: GE_GERICHTE ATA/802/2013 du 10 décembre 2013</w:t>
      </w:r>
    </w:p>
    <w:p>
      <w:r>
        <w:t>IT: GE_GERICHTE ATA/802/2013 del 10 dicembre 2013</w:t>
      </w:r>
    </w:p>
    <w:p>
      <w:pPr>
        <w:pStyle w:val="Heading2"/>
      </w:pPr>
      <w:r>
        <w:t>Erwägungen</w:t>
      </w:r>
    </w:p>
    <w:p>
      <w:r>
        <w:rPr>
          <w:b/>
        </w:rPr>
        <w:t>E. 12</w:t>
      </w:r>
    </w:p>
    <w:p>
      <w:r>
        <w:t>septembre 1985 - LPA - E 5 10). 2)</w:t>
      </w:r>
    </w:p>
    <w:p>
      <w:r>
        <w:t>La recourante conteste la compatibilité de l'art. 23B al. 4 LGL avec différentes normes de rang constitutionnel.</w:t>
      </w:r>
    </w:p>
    <w:p>
      <w:r>
        <w:t>De jurisprudence constante, la chambre administrative est habilitée à revoir, à titre préjudiciel et à l’occasion de l’examen d’un cas concret, la conformité des normes de droit cantonal au droit fédéral (P. MOOR/A. FLUCKIGER/ V. MARTENET, Droit administratif, vol. 1, 3e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2ème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 op. cit, p. 323, n. 2.7.2.1). 3)</w:t>
      </w:r>
    </w:p>
    <w:p>
      <w:r>
        <w:t>Aux termes de l'art. 39A al. 4 LGL, le cumul entre l'allocation de logement et les prestations complémentaires est exclu.</w:t>
      </w:r>
    </w:p>
    <w:p>
      <w:r>
        <w:t>a. D'après la recourante, cette disposition violerait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 autres citoyens » par rapport aux bénéficiaires des prestations complémentaires.</w:t>
      </w:r>
    </w:p>
    <w:p>
      <w:r>
        <w:t>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w:t>
      </w:r>
    </w:p>
    <w:p>
      <w:r>
        <w:t>- 5/9 - A/1989/2013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4)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w:t>
      </w:r>
    </w:p>
    <w:p>
      <w:r>
        <w:t>b. Cette allocation est allouée du 1er avril de chaque année au 31 mars de l’année suivante (art. 28 al. 1 RGL).</w:t>
      </w:r>
    </w:p>
    <w:p>
      <w:r>
        <w:t>c. Elle est proportionnelle au revenu, et vise à ramener le taux d’effort des bénéficiaires aux niveaux fixés à l’art. 21 RGL (par exemple : 26 % pour l’occupation d’un logement d’une pièce de plus que le nombre de personnes, art. 21 al. 1 let. a RGL). Elle s’élève au maximum à CHF 1'000.- la pièce par an et ne peut dépasser la moitié du loyer effectif (art. 24 al. 2 RGL). 5)</w:t>
      </w:r>
    </w:p>
    <w:p>
      <w:r>
        <w:t>Elle se distingue de la subvention personnalisée accordée à certaines conditions aux locataires d'un logement situé dans un immeuble d'habitation mixte (HM ; art. 23B LGL). 6)</w:t>
      </w:r>
    </w:p>
    <w:p>
      <w:r>
        <w:t>Le cumul entre cette dernière subvention et les prestations complémentaires est exclu par la LGL, à l'instar du cumul litigieux (art. 23B al. 4 LGL). 7)</w:t>
      </w:r>
    </w:p>
    <w:p>
      <w:r>
        <w:t>Il en va de même du cumul entre la subvention personnalisée et l'allocation de logement (art. 23B al. 3 LGL). 8)</w:t>
      </w:r>
    </w:p>
    <w:p>
      <w:r>
        <w:t>Les prestations complémentaires sont régies notamment par la loi fédérale sur les prestations complémentaires à l'AVS et à l'AI du 6 octobre 2006 (LPC - RS 831.30), dont l'art. 2 dispose qu'elles ont pour but la couverture des besoins vitaux.</w:t>
      </w:r>
    </w:p>
    <w:p>
      <w:r>
        <w:t>Cette loi est complétée et mise en œuvre par la loi sur les prestations cantonales complémentaires à l’assurance-vieillesse et survivants et à l’assurance- invalidité du 25 octobre 1968 (LPCC - J 4 25) dont les prestations sont supérieures à celles octroyées par la LPC ; art. 2 al. 2 LPC et 1ss LPCC). 9)</w:t>
      </w:r>
    </w:p>
    <w:p>
      <w:r>
        <w:t>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w:t>
      </w:r>
    </w:p>
    <w:p>
      <w:r>
        <w:t>Le droit aux PCC est plus restreint. Ainsi, le bénéficiaire suisse d'une rente AVS ou AI ne peut-il y prétendre s'il n'a pas été domicilié sur le territoire Suisse ou dans un Etat membre de l'Association européenne de libre-échange ou de</w:t>
      </w:r>
    </w:p>
    <w:p>
      <w:r>
        <w:t>- 6/9 - A/1989/2013 l'Union européenne au moins cinq ans durant les sept dernières années précédant la demande (art. 2 al. 2 LPCC). 10) Dans le système des PC, le montant de la prestation complémentaire annuelle correspond à la part des dépenses reconnues qui excède les revenus déterminants (art. 9 al. 1 LPC et 15 LPCC).</w:t>
      </w:r>
    </w:p>
    <w:p>
      <w:r>
        <w:t>Dans le cadre des PCF, ces dépenses sont principalement : un montant destiné à la couverture des besoins vitaux correspondant au forfait fixé à l'art. 9 al. 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w:t>
      </w:r>
    </w:p>
    <w:p>
      <w:r>
        <w:t>Au niveau cantonal, les dépenses reconnues sont plus élevées (forfait pour la couverture des besoins vitaux, art. 3 al. 1 du règlement relatif aux prestations cantonales complémentaires à l'assurance-vieillesse et survivants et à l’assurance- invalidité - RPCC – J 4 25.03 ; forfait pour dépenses personnelles, art. 3 al. 3 RPCC p. ex.). En revanche, le forfait pour les dépenses de loyer est le même que celui fixé par le droit fédéral (art. 36F let. b LPCC a contrario). 11) Du droit aux PC découle tout un ensemble de droits sociaux complémentaires disséminés dans les lois spéciales, dont notamment les suivants.</w:t>
      </w:r>
    </w:p>
    <w:p>
      <w:r>
        <w:t>a. Selon l'art.14 LPC, les cantons remboursent aux bénéficiaires d'une prestation complémentaire annuelle les frais suivants de l'année civile en cours, s'ils sont dûment établis :</w:t>
      </w:r>
    </w:p>
    <w:p>
      <w:r>
        <w:t>- frais de traitement dentaire ;</w:t>
      </w:r>
    </w:p>
    <w:p>
      <w:r>
        <w:t>- frais d'aide, de soins et d'assistance à domicile ou dans d'autres structures ambulatoires ;</w:t>
      </w:r>
    </w:p>
    <w:p>
      <w:r>
        <w:t>- frais liés aux cures balnéaires et aux séjours de convalescence prescrits par un médecin ;</w:t>
      </w:r>
    </w:p>
    <w:p>
      <w:r>
        <w:t>- frais liés à un régime alimentaire particulier ;</w:t>
      </w:r>
    </w:p>
    <w:p>
      <w:r>
        <w:t>- frais de transport vers le centre de soins le plus proche ;</w:t>
      </w:r>
    </w:p>
    <w:p>
      <w:r>
        <w:t>- frais de moyens auxiliaires ;</w:t>
      </w:r>
    </w:p>
    <w:p>
      <w:r>
        <w:t>- frais payés au titre de la participation aux coûts selon l'art. 64 de la loi fédérale sur l’assurance-maladie du 18 mars 1994 (LAMal - RS 832.10 ; franchise, participation des assurés de 10 %).</w:t>
      </w:r>
    </w:p>
    <w:p>
      <w:r>
        <w:t>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w:t>
      </w:r>
    </w:p>
    <w:p>
      <w:r>
        <w:t>- 7/9 - A/1989/2013</w:t>
      </w:r>
    </w:p>
    <w:p>
      <w:r>
        <w:t>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w:t>
      </w:r>
    </w:p>
    <w:p>
      <w:r>
        <w:t>d. Sur demande, ils sont exonérés de l'obligation de payer la redevance de réception de la radio et de la télévision (art. 64 al. 1 de l'ordonnance sur la radio et la télévision du 9 mars 2007 (ORTV - RS 784.401).</w:t>
      </w:r>
    </w:p>
    <w:p>
      <w:r>
        <w:t>e. Ils bénéficient d'une aide sociale ramenant à CHF 66.- pour chacun des membres du groupe familial l'abonnement unireso annuel des transports publics genevois (art. 17 LPCC et 7A al. 1 RPCC).</w:t>
      </w:r>
    </w:p>
    <w:p>
      <w:r>
        <w:t>f. Enfin, les revenus qu'ils perçoivent en vertu de la LPC et de la LPCC sont exonérés d'impôts (art. 27 let. i de la loi sur l'imposition des personnes physiques du 27 septembre 2009 - LIPP - D 3 08). 12)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 B al. 4 LGL qui provient du fait que le régime légal des PC se suffit à lui- même et qu'il n'a pas besoin de l'apport d'autres prestations catégorielles (parmi lesquelles sont classées les allocations de logement et les subventions personnalisées HM ; art. 13 al. 1 let. a ch. 2 LRD) pour assurer la couverture des besoins vitaux des personnes concernées. 13)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w:t>
      </w:r>
    </w:p>
    <w:p>
      <w:r>
        <w:t>Le grief d'inégalité de traitement sera ainsi rejeté. 14) Par ailleurs, les PCC accordant bien davantage que les moyens indispensables pour mener une existence conforme à la dignité humaine au sens visé par l'art. 12 Cst., cette disposition n'est pas non plus violée.</w:t>
      </w:r>
    </w:p>
    <w:p>
      <w:r>
        <w:t>- 8/9 - A/1989/2013</w:t>
      </w:r>
    </w:p>
    <w:p>
      <w:r>
        <w:t>Certes, en l'espèce, les PC allouées ne permettent pas à l'intégralité des membres de la famille de mener une existence conforme à la dignité humaine. Tel n'est toutefois pas leur objet, ainsi qu'en témoigne la décision fixant le montant de leur octroi. En effet, pour des raisons inconnues qui échappent à la présente cause, aucun des enfants de la recourante n'est intégré dans le calcul des PC et le forfait des dépenses de loyer de l'intéressée n'est pas accordé à son maximum.</w:t>
      </w:r>
    </w:p>
    <w:p>
      <w:r>
        <w:t>L'examen de cette situation relève du SPC, dont la décision peut être contestée, cas échéant, par les voies de recours ordinaires. Il est étranger à la présente cause et n'affecte pas la constitutionnalité de l'art. 39A LGL ni la légalité de la décision entreprise. 15) Il en va de même, pour les mêmes motifs du droit au logement qui n'est pas menacé dans sa substance par la décision attaquée, même si celle-ci rend plus importante la participation de la recourante au paiement de son loyer et réduit sensiblement ses moyens d'existence.</w:t>
      </w:r>
    </w:p>
    <w:p>
      <w:r>
        <w:t>Sur le fond, la décision entreprise est conforme à la loi, sans qu’il ne soit nécessaire de déterminer si le droit au logement, garanti par l’art. 38 de la Constitution de la République et canton de Genève du 14 octobre 2012 (Cst-GE A 2 00), peut être invoqué en justice. 16) Le recours sera ainsi rejeté. 17) 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