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ATA/7/2018 vom 9. Januar 2018</w:t>
      </w:r>
    </w:p>
    <w:p>
      <w:r>
        <w:t>GE Cour de justice, 2018-01-09, FR</w:t>
      </w:r>
    </w:p>
    <w:p>
      <w:r>
        <w:rPr>
          <w:b/>
        </w:rPr>
        <w:t xml:space="preserve">Quelle: </w:t>
      </w:r>
      <w:r>
        <w:t>https://mcp.opencaselaw.ch/entscheid/ge_gerichte_ATA_7_2018</w:t>
      </w:r>
    </w:p>
    <w:p>
      <w:r>
        <w:t>FR: GE_GERICHTE ATA/7/2018 du 9 janvier 2018</w:t>
      </w:r>
    </w:p>
    <w:p>
      <w:r>
        <w:t>IT: GE_GERICHTE ATA/7/2018 del 9 gennaio 2018</w:t>
      </w:r>
    </w:p>
    <w:p>
      <w:pPr>
        <w:pStyle w:val="Heading2"/>
      </w:pPr>
      <w:r>
        <w:t>Regeste</w:t>
      </w:r>
    </w:p>
    <w:p>
      <w:r>
        <w:t>Résumé: Rejet du recours contre un jugement déniant à des particuliers la qualité pour recourir contre une autorisation permettant l'installation de neuf candélabres dans un parc d'une commune genevoise. Pas de violation de la garantie d'accès à la justice. Pas de violation de l'art. 9 § 3 Convention d'Aarhus consacrant l'accès à la justice en matière environnementale. Confirmation de l'absence de qualité pour recourir contre ladite autorisation.</w:t>
      </w:r>
    </w:p>
    <w:p>
      <w:pPr>
        <w:pStyle w:val="Heading2"/>
      </w:pPr>
      <w:r>
        <w:t>Erwägungen</w:t>
      </w:r>
    </w:p>
    <w:p>
      <w:r>
        <w:rPr>
          <w:b/>
        </w:rPr>
        <w:t>E. 19</w:t>
      </w:r>
    </w:p>
    <w:p>
      <w:r>
        <w:t>juin 2017, reçu le lendemain, ils sont largement hors délai de recours. Leur recours est donc tardif. 2)</w:t>
      </w:r>
    </w:p>
    <w:p>
      <w:r>
        <w:t>Les recourants se plaignent de ne pas avoir accès à la justice pour contester l’autorisation litigieuse, en violation des art. 29a Cst., art. 6 CEDH et art. 9 § 3 Convention d’Aarhus, au motif que le TAPI leur aurait, à tort, dénié la qualité pour recourir contre ladite autorisation et violé le principe de l’égalité de traitement en ne prenant pas en compte les particularités du cas d’espèce liées à l’emplacement et à l’impact de l’installation litigieuse. 3)</w:t>
      </w:r>
    </w:p>
    <w:p>
      <w:r>
        <w:t>Selon l’art. 29a Cst., toute personne a droit à ce que sa cause soit jugée par une autorité judiciaire. La Confédération et les cantons peuvent, par la loi, exclure l’accès au juge dans des cas exceptionnels. L’art. 6 CEDH traite du droit à un procès équitable. Toute personne a droit à ce que sa cause soit entendue équitablement, publiquement et dans un délai raisonnable, par un tribunal indépendant et impartial, établi par la loi, qui décidera notamment des contestations sur ses droits et obligations de caractère civil (art. 6 § 1 phr. 1 CEDH).</w:t>
      </w:r>
    </w:p>
    <w:p>
      <w:r>
        <w:t>Selon la jurisprudence du Tribunal fédéral, l’art. 29a Cst. étend le contrôle judiciaire à toutes les matières, y compris aux actes de l’administration, en établissant une garantie générale de l’accès au juge, laquelle ne s’oppose cependant pas aux conditions de recevabilité habituelles du recours (ATF 137 II 409 consid. 4.2 ; 136 I 323 consid. 4.3 ; arrêt du Tribunal fédéral 2C_841/2016 du 25 août 2017 consid. 4). L’art. 6 CEDH ne s’oppose pas non plus, à l’instar de l’art. 29a Cst. notamment, à une réglementation de l’accès des justiciables aux tribunaux, pourvu que cette réglementation ait pour but d’assurer une bonne administration de la justice. Le droit d’accès peut être soumis aux conditions habituelles de recevabilité des recours (délais, capacité, qualité), à la valeur litigieuse ou à l’importance de l’affaire, à condition qu’elles ne l’atteignent pas dans sa substance (Andreas AUER/Giorgio MALINVERNI/Michel HOTTELIER, Droit constitutionnel suisse, vol. II, 3ème éd., 2013, n. 1217). Le droit d’accès à un tribunal n’est pas absolu et se prête à des limitations implicitement admises, notamment quant aux conditions de recevabilité d’un recours, car il appelle, de par sa nature même, une réglementation par l’État. Toutefois, ces limitations ne sauraient restreindre l’accès ouvert à un justiciable de manière ou à un point tel que son droit à un tribunal s’en trouve atteint dans sa substance même (ACEDH du 27 août 2004, Boulougouras, § 19 ; ACEDH du 28 mai 1985, Ashingdane, § 57 ; AUER/MALINVERNI/HOTTELIER, op. cit., n. 1217). Ces limitations ne sont admissibles que si elles tendent à un but légitime et s’il existe un rapport raisonnable de proportionnalité entre les moyens employés et le but</w:t>
      </w:r>
    </w:p>
    <w:p>
      <w:r>
        <w:t>- 8/19 - A/2085/2016 visé (Christoph GRABENWARTER/Katharina PABEL, Europäische Menschenrechtskonvention, 6ème éd., 2016, n. 53 ; AUER/MALINVERNI/ HOTTELIER, op. cit., n. 1222). 4)</w:t>
      </w:r>
    </w:p>
    <w:p>
      <w:r>
        <w:t>Le 1er juin 2014, la Convention d’Aarhus est entrée en vigueur pour la Suisse. Afin de contribuer à protéger le droit de chacun, dans les générations présentes et futures, de vivre dans un environnement propre à assurer sa santé et son bien-être, chaque Partie garantit les droits d’accès à l’information sur l’environnement, de participation du public au processus décisionnel et d’accès à la justice en matière d’environnement conformément aux dispositions de la présente Convention (art. 1 Convention d’Aarhus).</w:t>
      </w:r>
    </w:p>
    <w:p>
      <w:r>
        <w:t>a. La Convention d’Aarhus repose sur trois piliers : l’accès à l’information sur l’environnement prévu aux art. 4 à 5 Convention d’Aarhus, la participation du public au processus décisionnel en matière d’environnement ancrée aux art. 6 à 8 Convention d’Aarhus et l’accès à la justice en matière environnementale régi à l’art. 9 Convention d’Aarhus (Guide d’application de la Convention d’Aarhus établie par la Commission économique pour l’Europe des Nations Unies, 2ème éd., 2014 - ci-après : Guide d’application, p. 19 ; Message portant approbation de la Convention d’Aarhus et de son application ainsi que de son amendement du Conseil fédéral du 28 mars 2012, FF 2012 4027, p. 4028). Dans un arrêt de 2015, le Tribunal fédéral a considéré, sans développement particulier, que l’information et la participation de la population ainsi que l’accès au juge étaient assurés par les dispositions de la législation sur l’aménagement du territoire et la protection de l’environnement, dans une mesure satisfaisant largement aux exigences de la Convention d’Aarhus (arrêt du Tribunal fédéral 1C_242/2014 du 1er juillet 2015 consid. 3.3).</w:t>
      </w:r>
    </w:p>
    <w:p>
      <w:r>
        <w:t>L’application de la Convention d’Aarhus est soumise à un mécanisme de contrôle. Ce dernier découle, d’une part, de l’art. 15 Convention d’Aarhus, selon lequel la Réunion des Parties adopte, par consensus, des arrangements facultatifs de caractère non conflictuel, non judiciaire et consultatif pour examiner le respect des dispositions de la Convention d’Aarhus. D’autre part, par Décision I/7 du 2 avril 2004, la Réunion des Parties a créé le Comité d’examen du respect des dispositions (ci-après : le Comité). Celui-ci examine toute demande qui lui est soumise – qu’elle émane d’un État partie ou d’un membre du public – concernant le respect de la Convention d’Aarhus. Il peut établir des conclusions et des recommandations, qui sont ensuite transmises à la Réunion des Parties pour approbation. Le Guide d’application précise que jusqu’à sa seconde édition, toutes les conclusions de non-respect du Comité ont été approuvées par la Réunion des Parties (Guide d’application, p. 223 ss). Selon certains auteurs suisses, les conclusions et recommandations du Comité constituent une « véritable base quasi-jurisprudentielle d’interprétation de la Convention [d’Aarhus]» (Nicolas WISARD/Lydia ORCEL, Convention d’Aarhus : la « jurisprudence » du Comité</w:t>
      </w:r>
    </w:p>
    <w:p>
      <w:r>
        <w:t>- 9/19 - A/2085/2016 d’examen du respect des dispositions in DEP 2017-5 p. 489). La Convention d’Aarhus fait aussi l’objet d’un Guide d’application rédigé par des experts indépendants, parmi lesquels figure le président du Comité. Ce document n’est juridiquement pas contraignant, mais se fonde entre autres sur les décisions adoptées par la Réunion des Parties et les conclusions du Comité. Il présente un aperçu général des principes qui sous-tendent la Convention et une analyse détaillée, article par article, de ses dispositions (Guide d’application, p. 4, 8 et 9).</w:t>
      </w:r>
    </w:p>
    <w:p>
      <w:r>
        <w:t>b. En vertu de l’art. 9 Convention d’Aarhus, l’accès à la justice signifie que les membres du public ont la possibilité de former un recours pour faire appliquer les normes de ladite convention relatives à l’accès à l’information (art. 9 § 1 Convention d’Aarhus), celles portant sur la participation du public (art. 9 § 2 Convention d’Aarhus), ainsi que les dispositions de la législation nationale sur l’environnement (art. 9 § 3 Convention d’Aarhus ; Guide d’application, p. 187). Bien que la Convention d’Aarhus soit autonome par rapport à d’autres instruments internationaux des droits de l’homme, le Guide d’application précise que les dispositions relatives à l’accès à la justice de ladite convention s’inspirent de notions établies par le droit international des droits de l’homme et qu’elles les développent. En particulier, l’art. 9 Convention d’Aarhus renforce le droit à un procès équitable, prévu entre autres à l’art. 6 CEDH. La Convention d’Aarhus adapte de tels principes des droits de l’homme à des contextes où la protection de l’environnement et la santé humaine sont en jeu (Guide d’application, p. 188).</w:t>
      </w:r>
    </w:p>
    <w:p>
      <w:r>
        <w:t>Selon l’art. 9 § 3 Convention d’Aarhus, « en outre, et sans préjudice des procédures de recours visées aux par. 1 et 2 ci-dessus, chaque Partie veille à ce que les membres du public qui répondent aux critères éventuels prévus par son droit interne puissent engager des procédures administratives ou judiciaires pour contester les actes ou omissions de particuliers ou d’autorités publiques allant à l’encontre des dispositions du droit national de l’environnement ». Il découle des conclusions et recommandations prises par le Comité au sujet des communications ACCC/C/2005/11 (Belgique, par. 34 ss), ACCC/C/2006/18 (Danemark, par. 29 ss), ACCC/C/2011/58 (Bulgarie, par. 65 ss) et ACCC/C/2013-81 (Suède, par. 84 ss) – disponibles sur le site internet de la Commission économique pour l’Europe des Nations Unies in : https://www.unece.org/env/pp/pubcom.html – les éléments suivants.</w:t>
      </w:r>
    </w:p>
    <w:p>
      <w:r>
        <w:t>Même si l’art. 9 § 3 Convention d’Aarhus fait référence aux « critères éventuels prévus par [le] droit interne », ladite convention ne définit pas ces critères et ne fixe pas non plus de critères à éviter. Son but est plutôt de donner une très grande latitude pour la définition des membres du public qui ont accès à la justice. D’un côté, les Parties ne sont pas tenues d’établir un système d’action populaire (« action popularis ») dans leur droit national de sorte que quiconque puisse contester toute décision, acte ou omission concernant l’environnement. De l’autre côté, elles ne peuvent se prévaloir de l’expression « qui répondent aux</w:t>
      </w:r>
    </w:p>
    <w:p>
      <w:r>
        <w:t>- 10/19 - A/2085/2016 critères éventuels prévus par [le] droit interne » pour introduire ou maintenir des critères rigoureux au point d’empêcher la totalité ou la quasi-totalité des associations de défense de l’environnement ou d’autres membres du public de contester des actes ou omissions allant à l’encontre du droit national de l’environnement (affaire précitée ACCC/C/2006/18, par. 29 ; WISARD/ORCEL, op. cit., n. 85 ; Guide d’application, p. 198).</w:t>
      </w:r>
    </w:p>
    <w:p>
      <w:r>
        <w:t>Lorsqu’il cherche à déterminer si une Partie satisfait aux dispositions de l’art. 9 § 3 Convention d’Aarhus, le Comité tient compte du tableau d’ensemble, c’est-à-dire de la mesure dans laquelle le droit interne peut effectivement être un obstacle pour les membres du public en général, y compris les associations de défense de l’environnement, ou si ces dernières disposent de recours pour contester effectivement des actes ou omissions. Dans cette évaluation, l’art. 9 § 3 Convention d’Aarhus doit être lu parallèlement aux art. 1 à 3 Convention d’Aarhus et à la lumière de l’objectif énoncé dans le préambule, à savoir que « le public, y compris les organisations, [devrait avoir] accès à des mécanismes judiciaires efficaces afin que leurs intérêts légitimes soient protégés et la loi respectée » (affaire précitée ACCC/C/2006/18, par. 30 ; WISARD/ORCEL, op. cit., n. 86). La Convention d’Aarhus n’interdit pas à une Partie d’appliquer des critères généraux d’intérêt juridique ou d’établir l’existence d’un intérêt individuel majeur, pour autant que l’application de ces critères ne conduise pas à empêcher effectivement la totalité ou la quasi-totalité des membres du public de contester des actes ou omissions concernant l’objet litigieux (affaire précitée ACCC/C/2006/18, par. 31).</w:t>
      </w:r>
    </w:p>
    <w:p>
      <w:r>
        <w:t>Dans l’affaire danoise précitée, le Comité ne conclut pas au non-respect de l’art. 9 § 3 Convention d’Aarhus du seul fait que l’auteur de la communication n’a pas eu la possibilité d’engager une procédure pénale, dans la mesure où il semble au Comité que certains membres du public, à savoir certaines organisations non gouvernementales, ont la possibilité de contester l’acte litigieux (affaire précitée ACCC/C/2006/18, par. 35 s.). Dans l’affaire suédoise susmentionnée, le Comité relève que, malgré la latitude accordée aux Parties en vertu de l’art. 9 § 3 Convention d’Aarhus pour fixer dans leur droit interne les critères applicables à la qualité pour agir, si les instances de recours n’ont pas tenu compte de tous les éléments pertinents, cela signifie que la Partie en question ne s’est pas conformée aux dispositions de l’art. 9 § 3 Convention d’Aarhus. S’il est impossible d’établir une liste définitive des impacts potentiels des éoliennes, le Comité considère que, selon les circonstances, il peut être nécessaire de tenir compte de certains des éléments suivants lors de l’évaluation de ces impacts. Une éolienne peut avoir un impact sur un particulier en raison du bruit et des vibrations ou des effets stroboscopiques et il faut tenir dûment compte des questions de sécurité telles que la proximité des routes et des chemins de fer, le trafic aérien, la proximité des lignes électriques et la possibilité d’interférence avec les systèmes de communication. Cette liste n’est pas exhaustive et d’autres facteurs pourraient être</w:t>
      </w:r>
    </w:p>
    <w:p>
      <w:r>
        <w:t>- 11/19 - A/2085/2016 pris en compte au cas par cas (affaire précitée ACCC/C/2013-81, par. 98 s.). Le Comité considère qu’il ne serait pas logique d’exclure le droit de contester un acte ou une omission concernant une éolienne uniquement en raison d’un critère de distance et qu’une telle hypothèse ne serait pas conforme à l’art. 9 § 3 Convention d’Aarhus (affaire précitée ACCC/C/2013-81, par. 101 s. ; WISARD/ORCEL, op. cit., n. 92).</w:t>
      </w:r>
    </w:p>
    <w:p>
      <w:r>
        <w:t>5)</w:t>
      </w:r>
    </w:p>
    <w:p>
      <w:r>
        <w:t>En vertu de l’art. 33 al. 3 let. a de la loi fédérale sur l’aménagement du territoire du 22 juin 1979 (LAT - RS 700) en lien avec l’art. 89 al. 1 let. b et c de la loi fédérale sur le Tribunal fédéral du 17 juin 2005 (LTF - RS 173.110), a qualité pour recourir dans la procédure cantonale quiconque est particulièrement atteint par la décision attaquée et a un intérêt digne de protection à son annulation ou à sa modification. Une définition équivalente est prévue à l’art. 60 al. 1 let. b LPA, selon lequel a qualité pour recourir, toute personne qui est touchée directement par une décision et a un intérêt personnel digne de protection à ce qu’elle soit annulée ou modifiée.</w:t>
      </w:r>
    </w:p>
    <w:p>
      <w:r>
        <w:t>a. Est atteint par une décision quiconque se trouve dans une relation suffisamment étroite avec l’objet litigieux. L’intérêt en question peut être de droit ou de fait, et ne doit pas forcément correspondre à celui que protège la norme dont le recourant allègue la violation. Il faut toutefois que le recourant soit touché plus que quiconque ou la généralité des administrés dans un intérêt se trouvant, avec l’objet de la contestation, dans un rapport étroit, spécial et digne d’être pris en considération. À la lumière de l’art. 33 al. 3 let. a LAT en lien avec l’art. 89 al. 1 LTF, on a affaire à un intérêt digne de protection lorsque la situation de droit ou de fait du recourant peut être influencée par l’issue de la procédure. Ces exigences visent à exclure l’action populaire. Elles revêtent donc une importance toute particulière lorsque ce n’est pas le destinataire de la décision qui la conteste, mais un tiers (par exemple un voisin). S’il s’avère, même dans ce cas, que le recourant est directement touché et qu’il se trouve dans une relation suffisamment étroite avec l’objet litigieux, il a alors un intérêt suffisant à ce que la décision attaquée soit annulée ou modifiée. Cet intérêt réside dans l’avantage pratique que retirerait le recourant s’il avait gain de cause, c’est-à-dire dans le fait de ne pas subir l’inconvénient de nature matérielle ou idéale que lui causerait la décision contestée (Heinz AEMISEGGER/Stephan HAAG, Commentaire pratique de la protection juridique en matière d’aménagement du territoire, 2010, n. 55 ad art. 33 et la jurisprudence citée).</w:t>
      </w:r>
    </w:p>
    <w:p>
      <w:r>
        <w:t>b. Selon la jurisprudence du Tribunal fédéral, le voisin a qualité pour agir lorsque son terrain jouxte celui du constructeur ou se trouve à proximité immédiate de celui-ci (ATF 121 II 171 consid. 2b ; 115 Ib 508 consid. 5c). La distance par rapport à l'objet du litige ne constitue toutefois pas l'unique critère pour déterminer la qualité pour agir du voisin. S'il est certain ou très vraisemblable que l'installation litigieuse sera à l'origine d'immissions – bruit,</w:t>
      </w:r>
    </w:p>
    <w:p>
      <w:r>
        <w:t>- 12/19 - A/2085/2016 vibrations, lumières ou autres – touchant spécialement les voisins, même situés à quelque distance, ces derniers peuvent avoir qualité pour recourir (ATF 136 II 281 consid. 2.3.1 ; arrêt du Tribunal fédéral 1C_565/2012 du 23 janvier 2013 consid. 2.1). Le voisin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il doit ainsi invoquer des dispositions du droit public des constructions susceptibles d'avoir une incidence sur sa situation de fait ou de droit (ATF 137 II 30 consid. 2.2.3 et 2.3 ; 133 II 249 consid. 1.3.1 s. ; arrêt du Tribunal fédéral 1C_226/2016 du 28 juin 2017 consid. 1.1).</w:t>
      </w:r>
    </w:p>
    <w:p>
      <w:r>
        <w:t>c. Selon PFEIFFER, la jurisprudence plus récente du Tribunal fédéral semble restreindre la notion de faible proximité en exigeant un rapport spatial plus étroit (Laurent PFEIFFER, La qualité pour recourir en droit de l’aménagement du territoire et de l’environnement – Étude de droit fédéral et vaudois, thèse, 2013, p. 95). Dans un arrêt de 1995, la qualité pour recourir a été reconnue à deux recourants dont les biens-fonds se trouvaient entre 90 m et 110 m d’un complexe hôtelier, ainsi qu’au troisième recourant, malgré les 150 m qui le séparaient de la parcelle litigieuse, au motif que ce dernier était encore touché par les nuisances sonores plus que la généralité des habitants du quartier (ATF 121 II 171 consid. 2c/bb). En revanche, tel n’a pas été le cas pour le propriétaire d’un chalet sis à 70 m du périmètre d’un plan partiel d’affectation (arrêt du Tribunal fédéral 1C_503/2008 du 10 février 2009 consid. 3.3), ni d’un propriétaire foncier se trouvant à environ 120 m d’un bien-fonds sur lequel un défrichement était prévu (arrêt du Tribunal fédéral 1A.23/2006 du 3 novembre 2006 consid. 1). Dans le premier cas, le Tribunal fédéral a considéré que le recourant ne se trouvait pas dans un rapport de voisinage direct ou immédiat, l’espace intermédiaire étant largement occupé par le bâtiment de l’église et son clocher. Le recourant n’établissait en outre pas que les constructions seraient visibles depuis son chalet, ni qu’elles l’exposeraient à des nuisances supplémentaires puisque l’accès au parking souterrain se ferait par une route dont il n’était pas riverain (arrêt 1C_503/2008 précité consid. 3.3 ; PFEIFFER, op. cit., p. 95). Dans le second cas, le Tribunal fédéral a relevé que le propriétaire foncier pouvait voir la surface à défricher uniquement depuis la route, en passant en voiture (arrêt 1A.23/2006 précité consid. 1 ; PFEIFFER, op. cit., p. 95).</w:t>
      </w:r>
    </w:p>
    <w:p>
      <w:r>
        <w:t>D’après cet auteur, si une distance plus importante, par exemple de 150 m, sépare le recourant du fonds litigieux et qu’il ne démontre pas être atteint par des nuisances particulières, la qualité pour agir lui sera en principe déniée, faute d’une relation particulièrement étroite avec l’objet du litige (PFEIFFER, op. cit., p. 95 s. et la jurisprudence citée). Si le recourant parvient à démontrer qu’il est certain ou très vraisemblable qu’il sera particulièrement atteint par des immissions ou exposé à un risque, la qualité pour recourir sera admise, malgré une distance plus</w:t>
      </w:r>
    </w:p>
    <w:p>
      <w:r>
        <w:t>- 13/19 - A/2085/2016 importante. L’examen de la recevabilité nécessite une appréciation de l’ensemble des faits pertinents (PFEIFFER, op. cit., p. 97). En présence d’activités à nuisances étendues ou à risque, il importe peu que le nombre de personnes touchées soit considérable et s’étende sur un large périmètre. L’admission de la qualité pour recourir ne conduira pas pour autant à la reconnaissance d’une action populaire dans la mesure où l’exigence de la spécialité du lien ne sera pas rompue. Les effets prévisibles de l’exploitation doivent toutefois être clairement perceptibles comme tels par les recourants. Ils doivent être déterminés sans expertise coûteuse et se distinguer des immissions générales (PFEIFFER, op. cit., p. 97 s.).</w:t>
      </w:r>
    </w:p>
    <w:p>
      <w:r>
        <w:t>d. Selon le Tribunal fédéral, il ne suffit pas d’un risque théorique que les nuisances sonores puissent être excessives au regard des normes de droit public ou du droit privé pour reconnaître la qualité pour agir au riverain. Ce risque doit présenter une certaine vraisemblance et consistance pour admettre que le recourant est touché de manière particulière et plus intense que le reste des administrés. Cette question doit être examinée d’une manière objective, en fonction des circonstances concrètes de l’espèce (arrêt du Tribunal fédéral 1C_57/2007 du 14 août 2007 consid. 3.3). Le Tribunal fédéral a admis que l’exploitant d’une parcelle agricole avait un intérêt digne de protection à recourir contre l’affectation en zone à bâtir d’une parcelle voisine, séparée de sa parcelle par une route cantonale, au motif que le classement aura des incidences sur le niveau des nuisances sonores admissibles et que le recourant devra respecter des normes plus sévères en matière de protection contre le bruit dans le cadre de son travail, le risque allégué n’étant pas purement théorique vu la proximité des parcelles (arrêt 1C_57/2007 précité consid. 3.3 ; PFEIFFER, op. cit., p. 98).</w:t>
      </w:r>
    </w:p>
    <w:p>
      <w:r>
        <w:t>En matière d’immissions lumineuses, les voisins sont en règle générale légitimés à recourir lorsqu’un lien visuel direct existe avec la source lumineuse et que les immissions de lumière sont nettement perceptibles. Si un lien visuel direct fait défaut ou si une grande distance existe depuis la source des nuisances, c’est l’illumination du ciel la nuit qui compte ; elle est visible pour pratiquement tous les habitants d’une région. Dans ce cas, seules des circonstances spéciales permettent de reconnaître que l’atteinte est particulière et qu’elle justifie la qualité pour recourir. La perceptibilité de cette illumination doit paraître nette sur la base de critères qualitatifs (type de lumière) et quantitatifs (étendue dans l’espace). Il faut notamment tenir compte des environs et des émissions de lumière qu’ils subissent déjà (ATF 140 II 214 = JdT 2015 I 344 consid. 2.4).</w:t>
      </w:r>
    </w:p>
    <w:p>
      <w:r>
        <w:t>e. S’agissant des immissions immatérielles ou idéales, dont l’atteinte est imputable à la seule présence de l’ouvrage, PFEIFFER relève que la jurisprudence fédérale distingue implicitement ces dernières des immissions dites matérielles, à savoir les atteintes provoquées par des nuisances concrètes telles que le bruit, la pollution de l’air, les odeurs, les poussières, les vibrations ou encore les lumières,</w:t>
      </w:r>
    </w:p>
    <w:p>
      <w:r>
        <w:t>- 14/19 - A/2085/2016 même si une distinction nette entre ces deux types d’immissions n’est pas toujours possible. En cas d’atteinte purement idéale ou immatérielle, les conditions pour recourir sont plus strictes que pour les immissions dites matérielles. La situation ne peut s’apprécier en fonction des sentiments subjectifs d’une seule personne, il faut au contraire se référer à l’atteinte que pourrait ressentir la majorité des administrés, placés dans une situation identique. Ainsi, toute modification d’un site ou d’un paysage n’implique pas nécessairement un rapport étroit et spécial au sens de l’art. 89 al. 1 LTF, sous peine d’admettre l’action populaire. Dans son appréciation, l’autorité judiciaire doit prendre en considération la portion de parcelle touchée et refuser la qualité pour recourir si l’atteinte est de trop faible importance (PFEIFFER, op. cit., p. 126 ss).</w:t>
      </w:r>
    </w:p>
    <w:p>
      <w:r>
        <w:t>6)</w:t>
      </w:r>
    </w:p>
    <w:p>
      <w:r>
        <w:t>En l’espèce, les recourants allèguent deux atteintes pour fonder leur qualité pour recourir contre l’autorisation litigieuse. Il s’agit, d’une part, des immissions lumineuses résultant de l’installation querellée et, d’autre part, de la « transformation » du parc en ce sens que l’affectation du périmètre de ce dernier serait modifiée par l’œuvre d’art en cause.</w:t>
      </w:r>
    </w:p>
    <w:p>
      <w:r>
        <w:t>a. S’agissant des nuisances lumineuses, il y a lieu de constater que les logements de M. ARMANGIL, des époux BAVAUD, de Mme CHAUVET, de M. LETU, des époux ZEMAN, de Mme GOH, des époux PYTHON, de Mme ZHOLDOKOVA, de Mme GYGER, de Mme MASOUYE et de Mme MENDERES n’ont, au regard de leur lieu de situation, pas de vue directe sur le parc Trembley, ni a fortiori sur l’installation litigieuse, ce qui ressort clairement du système d’information du territoire à Genève (ci-après : SITG). D’ailleurs, les recourants ne soutiennent pas, à l’exception des époux SARIKAYA, voir l’un des neuf réverbères querellés.</w:t>
      </w:r>
    </w:p>
    <w:p>
      <w:r>
        <w:t>Quant aux époux SARIKAYA, il n’est pas contesté que leur logement se situe à environ 250 m du premier candélabre. Du point de vue de la jurisprudence fédérale en matière d’immissions lumineuses, seule est pertinente la distance par rapport à la source de lumière, et non par rapport à la limite la plus proche du parc comme le prétendent les intéressés, ce d’autant plus que le logement de ce couple se situe du côté du bas du parc, alors que les neuf lampadaires litigieux se trouvent dans la partie supérieure de ce dernier, le long des chemins de la promenade de Trembley. À cela s’ajoute le fait, comme l’invoquent les intimés et que cela ressort de la pièce 14 de la ville, que le logement de ces époux, situé au deuxième étage, se trouve en face du parc, sur l’avenue Giuseppe-Motta, sur laquelle se trouvent plantés des arbres et qu’on trouve également des arbres dans le parc lui-même et le long de ladite promenade. Par ailleurs, le dossier ne contient aucune photographie du parc prise depuis le logement des époux SARIKAYA, la production du contrat de bail de leur appartement ne permettant pas de prouver l’existence d’une vue directe dudit logement sur la zone du parc prévue pour accueillir l’œuvre d’art contestée, ni a fortiori de prise de vue nocturne permettant</w:t>
      </w:r>
    </w:p>
    <w:p>
      <w:r>
        <w:t>- 15/19 - A/2085/2016 d’apprécier la qualité de l’environnement de nuit. Au vu de ces éléments, la chambre de céans ne peut que constater le défaut de pièce permettant d’établir l’existence d’une vue directe depuis le logement des époux SARIKAYA sur l’un des neuf réverbères litigieux.</w:t>
      </w:r>
    </w:p>
    <w:p>
      <w:r>
        <w:t>En l’absence d’un lien visuel direct avec la source lumineuse, seules des circonstances spéciales sont, au regard de la jurisprudence fédérale susmentionnée, susceptibles de conduire à la reconnaissance d’une atteinte particulière et de la qualité pour recourir. Or, M. ARMANGIL et consorts n’invoquent aucune circonstance spéciale qui démontrerait l’existence d’une atteinte lumineuse particulière résultant de l’installation litigieuse, en dépit du fait que celle-ci n’est pas visible depuis leur lieu d’habitation. Outre le fait que les « larmes » chromées seront illuminées par des ampoules discrètes fixées au sol à l’image d’une flamme de bougie, c’est-à-dire par un éclairage indirect limitant l’intensité de la lumière et son impact sur le voisinage, il y a également lieu de prendre en compte, comme le souligne le département, qu’il existe déjà, le long des chemins de la promenade de Trembley ainsi que le long de l’avenue Giuseppe-Motta, des lampadaires à éclairage direct.</w:t>
      </w:r>
    </w:p>
    <w:p>
      <w:r>
        <w:t>Au vu de l’ensemble de ces circonstances, qui ne se limitent pas à la seule prise en compte du critère de la distance, mais se fondent sur la situation globale conformément à la jurisprudence précitée du Tribunal fédéral et aux exigences susmentionnées de la Convention d’Aarhus, M. ARMANGIL et consorts ne se trouvent pas dans une relation suffisamment étroite avec l’installation litigieuse et ne sont pas spécialement touchés par les nuisances lumineuses alléguées découlant de cette dernière. C’est donc à juste titre que le TAPI leur a dénié, sur ce point, la qualité pour recourir.</w:t>
      </w:r>
    </w:p>
    <w:p>
      <w:r>
        <w:t>b. En ce qui concerne l’atteinte découlant, d’après les recourants, d’un changement – qu’ils considèrent en outre inesthétique – d’affectation du parc en raison de l’installation des neuf réverbères litigieux dans la partie supérieure de ce dernier, il y a lieu de constater qu’elle découle d’une appréciation purement subjective des recourants liée à leur sensibilité par rapport à l’œuvre d’art en cause. En effet, d’un point de vue strictement objectif, l’installation de neuf lampadaires dans un parc n’a pas pour conséquence matérielle d’en modifier sa fonction de zone de verdure et de délassement, sur laquelle tout un chacun, habitant du quartier ou d’ailleurs, peut venir se promener et se détendre. Le fait que les recourants perçoivent l’installation litigieuse comme ayant pour conséquence la « transformation » du parc Trembley en un « parc du Monument arménien », une « zone de manifestations et commémorations » ou un « pôle de rassemblement à vocation internationale » tient à la symbolique que l’œuvre d’art contestée revêt à leurs yeux et non à un changement d’affectation de la zone en cause qui demeure une zone de verdure accueillant entre autres un parc et une école. Cet aspect-là relève de l’opportunité que la chambre de céans ne revoit pas</w:t>
      </w:r>
    </w:p>
    <w:p>
      <w:r>
        <w:t>- 16/19 - A/2085/2016 (art. 61 al. 1 et 2 LPA). L’atteinte alléguée par les recourants est ainsi immatérielle et purement subjective. Elle ne peut, en l’espèce, pas être qualifiée d’importante, dans la mesure où elle se fonde sur des sentiments subjectifs d’un groupe limité de personnes par rapport à l’ensemble des habitants du quartier et de la commune concernée et n’est donc pas suffisante pour admettre la qualité pour recourir des intéressés.</w:t>
      </w:r>
    </w:p>
    <w:p>
      <w:r>
        <w:t>Par ailleurs, comme l’a relevé le TAPI, ces derniers ne démontrent pas en quoi ils seraient concrètement touchés plus que la majorité des autres usagers du parc Trembley. Quant au caractère inesthétique de l’installation litigieuse, les recourants n’argumentent pas en quoi il conduirait à une quelconque violation du droit de sorte que cet argument ne peut qu’être écarté.</w:t>
      </w:r>
    </w:p>
    <w:p>
      <w:r>
        <w:t>c. S’agissant du grief tiré d’une prétendue violation de la garantie d’accès à la justice, il ne résiste pas à l’examen. D’une part, sous l’angle des art. 29a Cst. et art. 6 CEDH, la restriction découlant de l’existence de conditions de recevabilité au recours telle que celle liée à la qualité pour recourir, qui fait en l’espèce défaut pour les raisons sus-évoquées, est parfaitement admissible au regard de la jurisprudence relative à ces deux dispositions. En effet, une telle limitation participe d’une bonne administration de la justice, sans que le droit des recourants d’avoir accès à la justice ne soit, dans le cas d’espèce, atteint dans sa substance et ce pour les raisons mentionnées plus haut en lien avec les conditions de la qualité pour recourir.</w:t>
      </w:r>
    </w:p>
    <w:p>
      <w:r>
        <w:t>D’autre part, la jurisprudence susmentionnée du Tribunal fédéral, au regard de laquelle la qualité pour recourir des intéressés n’a pu être admise dans la présente affaire, respecte pleinement les exigences de l’art. 9 § 3 Convention d’Aarhus, ce qui a déjà été admis par le Tribunal fédéral dans l’arrêt 1C_242/2014 précité. En effet, comme le reconnaissent d’ailleurs les recourants dans leur écriture du 24 juillet 2017, « une douzaine d’habitations auraient pu satisfaire au critère retenu par le TAPI, à savoir se situer à moins de 150 m du premier réverbère, ce qui réduit à 18 pour toute la [ville] le nombre des personnes physiques susceptibles de se voir autorisées à critiquer un projet de construction en zone de verdure », et ce sans compter le recours d’associations à but idéal telle que celles disposant de la qualité spéciale pour recourir fondée sur la loi fédérale sur la protection de la nature et du paysage du 1er juillet 1966 (LPN - RS 451) vu, en l’espèce, l’emplacement de l’installation litigieuse dans un parc. Le fait de prétendre, comme le font les recourants dans leur écriture du 24 juillet 2017, que l’objet du présent litige ne relèverait des buts statutaires d’aucune des associations habilitées à recourir selon la LPN telles que Pro Natura, au motif que ces dernières n’ont pas « vocation à se préoccuper de la présente espèce, à savoir la construction de lampadaires dans le parc Trembley », ne résiste pas à l’examen sous l’angle de l’examen de la conformité à l’art. 9 § 3 Convention d’Aarhus, car un tel argument remet en cause l’application même de cette convention au cas d’espèce, cette</w:t>
      </w:r>
    </w:p>
    <w:p>
      <w:r>
        <w:t>- 17/19 - A/2085/2016 dernière étant limitée aux seules questions environnementales. Par ailleurs, la pose de lampadaires dans un parc est susceptible de toucher des questions liées à la nature, ce qui a, dans le cas d’espèce, conduit la direction générale de la nature et du paysage à émettre, dans son préavis positif, une condition liée à la protection des arbres. Ainsi, contrairement à ce que soutiennent les recourants, le fait que l’emplacement de l’installation litigieuse se trouve au centre d’une zone de verdure d’une surface importante de sorte que le voisinage y soit par définition éloigné, n’est pas une circonstance permettant d’exclure d’emblée la possibilité de membres du public, autres que les recourants, de pouvoir bénéficier de la qualité pour recourir contre l’autorisation querellée. En effet, on peut penser aux personnes habitant les immeubles situés sur la rue de Moillebeau, vers le haut du parc, et à celles occupant les villas situées au chemin du Pré-Cartelier qui bordent la promenade de Trembley. Le fait que cela se limite potentiellement à une vingtaine de personnes ne permet pas de conclure, dans le cas d’espèce, que lesdits critères empêchent un contrôle judiciaire du respect du droit national de l’environnement au sens de la Convention d’Aarhus, étant donné les caractéristiques précitées – et relevées par les recourants eux-mêmes – de l’emplacement de l’installation litigieuse au milieu d’une importante zone de verdure éloignée, en grande partie, des habitations, ces caractéristiques pouvant au surplus justifier, comme le relève le département, la pertinence du choix de l’emplacement de l’installation litigieuse.</w:t>
      </w:r>
    </w:p>
    <w:p>
      <w:r>
        <w:t>En prenant en compte la jurisprudence du Tribunal fédéral relative à la qualité pour recourir, en particulier la distance entre le logement des recourants et le réverbère le plus proche, les éventuels éléments permettant d’établir l’existence d’une vue directe depuis les logements des intéressés sur l’installation litigieuse et l’absence de circonstances susceptibles de démontrer une atteinte plus forte que pour la majorité des autres usagers du parc, le TAPI a correctement pris en compte l’ensemble des faits pertinents du cas d’espèce et ne s’est pas limité au seul critère de la distance pour déterminer si les intéressés disposaient de la qualité pour recourir contre l’autorisation litigieuse. La juridiction précédente n’a donc pas violé la garantie d’accès à la justice, y compris sous l’angle des exigences susmentionnées découlant de l’art. 9 § 3 Convention d’Aarhus. Par conséquent, le recours doit être rejeté et le jugement du TAPI confirmé. 7)</w:t>
      </w:r>
    </w:p>
    <w:p>
      <w:r>
        <w:t>Au vu de ce qui précède, le recours sera rejeté.</w:t>
      </w:r>
    </w:p>
    <w:p>
      <w:r>
        <w:t>Vu l’issue du litige, un émolument de CHF 1'000.- sera mis à la charge conjointe et solidaire des recourants (art. 87 al. 1 LPA). Une indemnité de procédure de CHF 500.- sera allouée à l’association qui a recouru aux services de deux conseils (art. 87 al. 2 LPA). Aucune indemnité ne sera octroyée à la ville, cette dernière disposant de son propre service juridique et étant par conséquent apte à assurer la défense de ses intérêts sans recourir aux services d’un avocat</w:t>
      </w:r>
    </w:p>
    <w:p>
      <w:r>
        <w:t>- 18/19 - A/2085/2016 (art. 87 al. 2 LPA ; ATA/376/2016 du 3 mai 2016 consid. 11 ; ATA/209/2016 du 8 mars 2016 consid. 6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