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ATA/79/2024 vom 23. Januar 2024</w:t>
      </w:r>
    </w:p>
    <w:p>
      <w:r>
        <w:t>GE Cour de justice, 2024-01-23, FR</w:t>
      </w:r>
    </w:p>
    <w:p>
      <w:r>
        <w:rPr>
          <w:b/>
        </w:rPr>
        <w:t xml:space="preserve">Quelle: </w:t>
      </w:r>
      <w:r>
        <w:t>https://mcp.opencaselaw.ch/entscheid/ge_gerichte_ATA_79_2024</w:t>
      </w:r>
    </w:p>
    <w:p>
      <w:r>
        <w:t>FR: GE_GERICHTE ATA/79/2024 du 23 janvier 2024</w:t>
      </w:r>
    </w:p>
    <w:p>
      <w:r>
        <w:t>IT: GE_GERICHTE ATA/79/2024 del 23 gennaio 2024</w:t>
      </w:r>
    </w:p>
    <w:p>
      <w:pPr>
        <w:pStyle w:val="Heading2"/>
      </w:pPr>
      <w:r>
        <w:t>Regeste</w:t>
      </w:r>
    </w:p>
    <w:p>
      <w:r>
        <w:t>Résumé: Recours de voisins d’une construction contre la décision incidente du TAPI, de substitution de parties (à la suite d’une fusion de sociétés) et d’appel en cause (des nouvelles propriétaires), en raison de la vente de la parcelle concernée par l’autorisation de construire querellée. Les voisins n’ayant pas démontré subir une atteinte irréparable en raison de l’appel en cause des nouvelles propriétaires de la parcelle, et de la mise hors de cause des anciens propriétaires, le recours est irrecevable. La substitution de parties, à la suite d’une fusion de sociétés, n’était pas contestée.</w:t>
      </w:r>
    </w:p>
    <w:p>
      <w:pPr>
        <w:pStyle w:val="Heading2"/>
      </w:pPr>
      <w:r>
        <w:t>Erwägungen</w:t>
      </w:r>
    </w:p>
    <w:p>
      <w:r>
        <w:rPr>
          <w:b/>
        </w:rPr>
        <w:t>E. 1</w:t>
      </w:r>
    </w:p>
    <w:p>
      <w:r>
        <w:t>La chambre administrative examine d’office et librement la recevabilité des recours qui lui sont soumis (ATA/660/2022 du 23 juin 2022 consid. 1 et les références mentionnées).</w:t>
      </w:r>
    </w:p>
    <w:p>
      <w:r>
        <w:rPr>
          <w:b/>
        </w:rPr>
        <w:t>E. 1.1</w:t>
      </w:r>
    </w:p>
    <w:p>
      <w:r>
        <w:t>Interjeté devant l'autorité compétente et dans le délai de dix jours prescrit par l'art. 62 al. 1 let b de la loi sur la procédure administrative du 12 septembre 1985 (LPA - E 5 10), le recours est recevable sous ces deux aspects (art. 132 de la loi sur l'organisation judiciaire du 26 septembre 2010 - LOJ - E 2 05), la décision ordonnant l’appel en cause étant une décision incidente (arrêt du Tribunal fédéral 2C_234/2011 du 23 août 2011 consid. 3.2 ; ATA/64/2014 du 4 février 2014 consid. 3), ce qu’aucune partie ne conteste.</w:t>
      </w:r>
    </w:p>
    <w:p>
      <w:r>
        <w:rPr>
          <w:b/>
        </w:rPr>
        <w:t>E. 1.2</w:t>
      </w:r>
    </w:p>
    <w:p>
      <w:r>
        <w:t>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rPr>
          <w:b/>
        </w:rPr>
        <w:t>E. 1.3</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Un</w:t>
      </w:r>
    </w:p>
    <w:p>
      <w:r>
        <w:t>- 6/8 -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(ATA/1133/2022 du 8 novembre 2022 consid. 2b ; ATA/184/2020 du 18 février 2020 consid. 3a).</w:t>
      </w:r>
    </w:p>
    <w:p>
      <w:r>
        <w:rPr>
          <w:b/>
        </w:rPr>
        <w:t>E. 1.4</w:t>
      </w:r>
    </w:p>
    <w:p>
      <w:r>
        <w:t>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w:t>
      </w:r>
    </w:p>
    <w:p>
      <w:r>
        <w:rPr>
          <w:b/>
        </w:rPr>
        <w:t>E. 1.5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1.6</w:t>
      </w:r>
    </w:p>
    <w:p>
      <w:r>
        <w:t>En l’espèce, les recourants allèguent subir un préjudice irréparable en raison de l’appel en cause de L______ et d’K______, nouvelles propriétaires. Les recourants ne consacrent cependant aucun développement à l'hypothétique préjudice irréparable que la décision attaquée pourrait leur occasionner, mais se contentent de l’invoquer. Ils estiment que l’appel en cause querellé porterait atteinte à leurs droits de parties, mais n’expliquent pas en quoi consisterait cette atteinte ni en quoi elle serait irrémédiable. Un tel dommage ne ressort par ailleurs nullement des éléments du dossier. Tout au plus peut-on retenir que l'admission de la qualité pour recourir d’K______ et de L______ obligera les recourants à répondre aux</w:t>
      </w:r>
    </w:p>
    <w:p>
      <w:r>
        <w:t>- 7/8 - observations soulevées par celles-ci, dans le cadre du recours au fond contre la décision querellée, ce qui ne saurait être considéré comme un préjudice irréparable.</w:t>
      </w:r>
    </w:p>
    <w:p>
      <w:r>
        <w:rPr>
          <w:b/>
        </w:rPr>
        <w:t>E. 1.7</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Les recourants ne se prévalent pas de cette hypothèse, à juste titre, dès lors que l'on ne voit pas que la procédure puisse être notablement écourtée si les nouvelles propriétaires n'étaient pas parties à la procédure. Faute de remplir les conditions de l'art. 57 let. c LPA, le recours est irrecevable.</w:t>
      </w:r>
    </w:p>
    <w:p>
      <w:r>
        <w:rPr>
          <w:b/>
        </w:rPr>
        <w:t>E. 2</w:t>
      </w:r>
    </w:p>
    <w:p>
      <w:r>
        <w:t>Vu l'issue du litige, un émolument de CHF 800.- sera mis à la charge solidaire des recourants, qui succombent (art. 87 al. 1 LPA) et de F______, cette dernière ayant appuyé les conclusions des recourants. Une indemnité de CHF 500.- sera allouée à K______ et L______, solidairement, à la charge solidaire pour CHF 250.- A______ , B______, C______, D______, E______ et pour CHF 250.- de F______ ; une indemnité de CHF 500.- sera allouée à O______ à la charge solidaire pour CHF 250.- de A______ , B______, C______, D______, E______ et pour CHF 250.- de F______ ; une indemnité de CHF 500.- allouée solidairement à H______ et G______ et aux hoiries de I______ et J______ à la charge solidaire pour CHF 250.- de A______ , B______, C______, D______, E______ et pour CHF 250.- de F______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