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ATA/79/2016 vom 26. Januar 2016</w:t>
      </w:r>
    </w:p>
    <w:p>
      <w:r>
        <w:t>GE Cour de justice, 2016-01-26, FR</w:t>
      </w:r>
    </w:p>
    <w:p>
      <w:r>
        <w:rPr>
          <w:b/>
        </w:rPr>
        <w:t xml:space="preserve">Quelle: </w:t>
      </w:r>
      <w:r>
        <w:t>https://mcp.opencaselaw.ch/entscheid/ge_gerichte_ATA_79_2016</w:t>
      </w:r>
    </w:p>
    <w:p>
      <w:r>
        <w:t>FR: GE_GERICHTE ATA/79/2016 du 26 janvier 2016</w:t>
      </w:r>
    </w:p>
    <w:p>
      <w:r>
        <w:t>IT: GE_GERICHTE ATA/79/2016 del 26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 production des bandes enregistrées par les caméras de surveillance à sa sortie de cellule le 6 novembre 2015 aux alentours de 7h45.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w:t>
      </w:r>
    </w:p>
    <w:p>
      <w:r>
        <w:t>En l’espèce, cette mesure d’instruction n’est pas déterminante. Même à considérer que le détenu ait possédé le jogging querellé le matin même, ce seul fait n’est pas de nature à modifier la solution du litige. Pour le surplus, le rapport de dénonciation établi le 6 novembre 2015 par l’intimé relate précisément les faits qui se sont déroulés le même jour. Le dossier étant complet, la chambre administrative dispose des éléments nécessaires pour statuer sans donner suite à la demande de visionnement des bandes vidéo présentée par le recourant.</w:t>
      </w:r>
    </w:p>
    <w:p>
      <w:r>
        <w:t>- 5/8 - A/4030/2015</w:t>
      </w:r>
    </w:p>
    <w:p>
      <w:r>
        <w:rPr>
          <w:b/>
        </w:rPr>
        <w:t>E. 3</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rPr>
          <w:b/>
        </w:rPr>
        <w:t>E. 4</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l’art. 47 al. 3 RRIP, le directeur de la prison est compétent pour prononcer, notamment, la privation de travail (let. e), le placement en cellule forte pour dix jours au plus (let. f).</w:t>
      </w:r>
    </w:p>
    <w:p>
      <w:r>
        <w:rPr>
          <w:b/>
        </w:rPr>
        <w:t>E. 5</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(ATA/972/2015 du 22 septembre 2015 et les références citées).</w:t>
      </w:r>
    </w:p>
    <w:p>
      <w:r>
        <w:t>De jurisprudence constante, la chambre de céans accorde généralement une pleine valeur probante aux constatations figurant dans un rapport de police, établi par des agents assermentés, sauf si des éléments permettent de s’en écarter. Dès</w:t>
      </w:r>
    </w:p>
    <w:p>
      <w:r>
        <w:t>- 6/8 - A/4030/2015 lors que les agents de détention sont également des fonctionnaires assermentés (art. 7 LOPP), le même raisonnement peut être appliqué aux rapports établis par ces derniers (ATA/295/2015 du 24 mars 2015).</w:t>
      </w:r>
    </w:p>
    <w:p>
      <w:r>
        <w:rPr>
          <w:b/>
        </w:rPr>
        <w:t>E. 6</w:t>
      </w:r>
    </w:p>
    <w:p>
      <w:r>
        <w:t>En l'espèce, le recourant conteste la sanction qui lui a été infligée. Toutefois, aucun élément du dossier ne permet de remettre en cause le rapport établi par le gardien. Le recourant se limite à indiquer une autre version des faits quant à la provenance du jogging. Sa version est contredite par la plainte du détenu dont le jogging avait disparu, par l’absence de plainte du co-détenu de l’intéressé, par le fait que le détenu volé a dûment reconnu son habit, que le 6 novembre 2015 correspondait précisément à la date de la restitution du linge à l’unité dans laquelle se trouvait le plaignant ainsi qu’à un jour d’activité dans la buanderie du recourant. Celui-ci ne conteste d’ailleurs pas ces faits.</w:t>
      </w:r>
    </w:p>
    <w:p>
      <w:r>
        <w:t>De surcroît, compte tenu de la jurisprudence précitée, la chambre de céans retiendra que l’incident s’est déroulé conformément à ce qui est décrit dans le rapport établi par l’agent de détention. Le visionnement des bandes vidéo n’est pas déterminant dès lors que le gardien a affirmé que le détenu était arrivé en short et que même à considérer que tel n’était pas le cas, ce fait ne serait pas encore de nature à prouver que le training appartenait au co-détenu du recourant.</w:t>
      </w:r>
    </w:p>
    <w:p>
      <w:r>
        <w:t>Le vol étant à proscrire de manière absolue dans un établissement carcéral, d’autant plus lorsque le détenu le pratique dans le cadre d’un atelier, la commission de tels faits justifie le prononcé d'une sanction de placement en cellule forte. Dans la mesure où il n’est pas fait mention d’antécédents, la quotité de trois jours doit être considérée comme proportionnée. De même, la suppression du travail apparaît fondée, le détenu ayant profité de l’atelier pour y pratiquer son activité délictuelle. Dès lors, le principe de la sanction, de même que sa quotité, seront confirmés.</w:t>
      </w:r>
    </w:p>
    <w:p>
      <w:r>
        <w:rPr>
          <w:b/>
        </w:rPr>
        <w:t>E. 7</w:t>
      </w:r>
    </w:p>
    <w:p>
      <w:r>
        <w:t>Compte tenu de ce qui précède, le recours sera rejeté.</w:t>
      </w:r>
    </w:p>
    <w:p>
      <w:r>
        <w:rPr>
          <w:b/>
        </w:rPr>
        <w:t>E. 8</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- 7/8 - A/4030/2015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