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ATA/799/2015 vom 7. August 2015</w:t>
      </w:r>
    </w:p>
    <w:p>
      <w:r>
        <w:t>GE Cour de justice, 2015-08-07, FR</w:t>
      </w:r>
    </w:p>
    <w:p>
      <w:r>
        <w:rPr>
          <w:b/>
        </w:rPr>
        <w:t xml:space="preserve">Quelle: </w:t>
      </w:r>
      <w:r>
        <w:t>https://mcp.opencaselaw.ch/entscheid/ge_gerichte_ATA_799_2015</w:t>
      </w:r>
    </w:p>
    <w:p>
      <w:r>
        <w:t>FR: GE_GERICHTE ATA/799/2015 du 7 août 2015</w:t>
      </w:r>
    </w:p>
    <w:p>
      <w:r>
        <w:t>IT: GE_GERICHTE ATA/799/2015 del 7 agosto 2015</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le 31 juillet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Le recours porte sur le bien-fondé du rejet de la demande de mise en liberté datée du 7 juillet 2015. 5)</w:t>
      </w:r>
    </w:p>
    <w:p>
      <w:r>
        <w:t>La détention administrative porte une atteinte grave à la liberté personnelle et ne peut être ordonnée que dans le respect de l'art. 5 de la Convention de sauvegarde des droits de l’homme et des libertés fondamentales du</w:t>
      </w:r>
    </w:p>
    <w:p>
      <w:r>
        <w:t>- 6/10 - A/2399/2015 4 novembre 1950 (CEDH - RS 0.101 ;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6)</w:t>
      </w:r>
    </w:p>
    <w:p>
      <w:r>
        <w:t>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s’il menace sérieusement d'autres personnes ou met gravement en danger leur vie ou leur intégrité corporelle et fait l'objet d'une poursuite pénale ou a été condamné pour ce motif ou a été condamné pour crime (art. 75 al. 1 let. g et h LEtr).</w:t>
      </w:r>
    </w:p>
    <w:p>
      <w:r>
        <w:t>L'autorité compétente prend sans délai une décision quant au droit de séjour de la personne mise en détention (art. 75 al. 2 LEtr). 7) a. L'étranger en détention peut déposer une demande de levée de détention un mois après que la légalité de cette dernière a été examinée. L'autorité judiciaire se prononce dans un délai de huit jours ouvrables, au terme d'une procédure orale. Une nouvelle demande de levée de détention peut être présentée après un délai d'un mois si la personne est détenue en vertu de l'art. 75 LEtr, ou de deux mois si elle est détenue en vertu de l'art. 76 LEtr.</w:t>
      </w:r>
    </w:p>
    <w:p>
      <w:r>
        <w:t>À Genève, la personne en détention administrative peut déposer en tout temps une demande de levée de détention (art. 7 al. 4 let. g LaLEtr).</w:t>
      </w:r>
    </w:p>
    <w:p>
      <w:r>
        <w:t>b. Selon l’art. 80 al. 4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w:t>
      </w:r>
    </w:p>
    <w:p>
      <w:r>
        <w:t>- 7/10 - A/2399/2015 d'origine ou de provenance le met concrètement en danger, par exemple en cas de guerre, de guerre civile, de violence généralisée ou de nécessité médicale (al. 4). 8)</w:t>
      </w:r>
    </w:p>
    <w:p>
      <w:r>
        <w:t>Le recourant invoque que son maintien en détention administrative viole le principe de la proportionnalité.</w:t>
      </w:r>
    </w:p>
    <w:p>
      <w:r>
        <w:t>a. La détention administrative doit respecter le principe de la proportionnalité, garanti par l'art. 36 Cst. qui se compose des règles d'aptitude (exigeant que le moyen choisi soit propre à atteindre le but fixé), de nécessité (qui impose qu'entre plusieurs moyens adaptés, on choisisse celui qui porte l'atteinte la moins grave aux intérêts privés) et de proportionnalité au sens étroit (qui met en balance les effets de la mesure choisie sur la situation de l'administré et le résultat escompté du point de vue de l'intérêt public ; ATF 125 I 474 consid. 3 et les arrêts cités ; arrêt du Tribunal fédéral 1P.269/2001 du 7 juin 2001 consid. 2c ; ATA/3019/2012 du 1er novembre 2012 ; ATA/581/2011 du 7 septembre 2011).</w:t>
      </w:r>
    </w:p>
    <w:p>
      <w:r>
        <w:t>b. Dans une première argumentation, le recourant allègue que des mesures moins incisives que la mise en détention seraient envisageables, à l’instar d’une assignation à résidence dans un foyer.</w:t>
      </w:r>
    </w:p>
    <w:p>
      <w:r>
        <w:t>La détention administrative doit permettre d’assurer la présence de l’intéressé au moment de l’exécution de son renvoi (art. 75 al. 1 LEtr). En l’espèce, le recourant a déjà été déclaré disparu en janvier 2014, quelques jours seulement après que l’OCPM l’avait convoqué pour l’informer de son obligation de quitter la Suisse et des modalités de la procédure de renvoi.</w:t>
      </w:r>
    </w:p>
    <w:p>
      <w:r>
        <w:t>Le recourant a par ailleurs été condamné pour un trafic de cocaïne, le 9 juin 2015.</w:t>
      </w:r>
    </w:p>
    <w:p>
      <w:r>
        <w:t>Au vu de ces deux éléments, aucune mesure moins incisive ne peut assurer la présence de l’intéressé lors de son renvoi.</w:t>
      </w:r>
    </w:p>
    <w:p>
      <w:r>
        <w:t>L’aspect dissuasif du sursis partiel de quinze mois accordé par jugement du Tribunal correctionnel du 9 juin 2015, et de son éventuelle révocation en cas de violation d’une assignation de résidence, ne suffit pas pour considérer que l’intérêt privé du recourant à voir sa mise en détention levée doit primer l’intérêt public à assurer le départ de l’intéressé.</w:t>
      </w:r>
    </w:p>
    <w:p>
      <w:r>
        <w:t>Le grief est infondé.</w:t>
      </w:r>
    </w:p>
    <w:p>
      <w:r>
        <w:t>c. Le recourant invoque que la durée de sa détention ne répond plus au critère de la proportionnalité.</w:t>
      </w:r>
    </w:p>
    <w:p>
      <w:r>
        <w:t>Le choix du recourant de retirer la demande d’asile a notamment pour conséquence d’allonger le temps nécessaire au prononcé d’une décision sur son séjour. L’intéressé a été placé en détention administrative le 10 juin 2015. Celle-ci</w:t>
      </w:r>
    </w:p>
    <w:p>
      <w:r>
        <w:t>- 8/10 - A/2399/2015 a été prononcée jusqu’au 10 septembre 2015. Au vu des circonstances, singulièrement du retrait de la demande d’asile, la mise en détention administrative - qui s’inscrit dans le cadre des six mois de détention autorisés - respecte le principe de la proportionnalité.</w:t>
      </w:r>
    </w:p>
    <w:p>
      <w:r>
        <w:t>Le grief est infondé. 9)</w:t>
      </w:r>
    </w:p>
    <w:p>
      <w:r>
        <w:t>Le recourant reproche au jugement du 12 juin 2015 d’avoir retenu qu’il était dénué de tout document d’identité et de moyens d’existence réguliers. Des solutions alternatives existeraient, conditionnées toutefois à sa mise en liberté.</w:t>
      </w:r>
    </w:p>
    <w:p>
      <w:r>
        <w:t>C’est à juste titre que le TAPI a considéré que les conditions de l’art. 75 al. 1 let. g et let. h LEtr étaient remplies compte tenu de la condamnation pénale de l’intéressé en application des art. 19 al. 1 et 2 let. a LStup, récente et portant sur un trafic de cocaïne, ainsi que de sa disparition en janvier 2014. La détention reste en conséquence légale compte tenu de ce qui précède, ce d’autant plus que le recourant a régulièrement affirmé qu’il s’opposait à son renvoi au Kenya, seul pays qui semble concerné en l’état depuis le retrait de la demande d’asile.</w:t>
      </w:r>
    </w:p>
    <w:p>
      <w:r>
        <w:t>La détention de l’intéressé se justifiant par des motifs autres que ceux querellés, le grief est infondé. 10) Par ailleurs, aucun élément du dossier ne permet de retenir, en l’état et avant que les recherches auxquelles doivent procéder les autorités en matière d’exigibilité du renvoi n’aient pu aboutir, que l’un des cas prévus à l’art. 80 al. 6 LEtr serait rempli. Rien ne prouve, en l’état, que l’exécution du renvoi serait impossible pour des raisons juridiques ou matérielles ou qu’elle ne pourrait être raisonnablement exigée. Le recourant ne le soutient d’ailleurs pas vraiment juridiquement, quand bien même il allègue, toutefois sans le documenter, un danger pour sa vie dans l’hypothèse d’un renvoi au Kenya. L’OCPM est invité à entreprendre, avec célérité, toutes les vérifications nécessaires et à prendre, sans délai, en application de l’art. 75 al. 2 LEtr, une décision quant au droit de séjour de l’intéressé. 11) Mal fondé, le recours sera rejeté. 12)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- 9/10 - A/2399/2015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