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ATA/798/2012 vom 22. November 2012</w:t>
      </w:r>
    </w:p>
    <w:p>
      <w:r>
        <w:t>GE Cour de justice, 2012-11-22, FR</w:t>
      </w:r>
    </w:p>
    <w:p>
      <w:r>
        <w:rPr>
          <w:b/>
        </w:rPr>
        <w:t xml:space="preserve">Quelle: </w:t>
      </w:r>
      <w:r>
        <w:t>https://mcp.opencaselaw.ch/entscheid/ge_gerichte_ATA_798_2012</w:t>
      </w:r>
    </w:p>
    <w:p>
      <w:r>
        <w:t>FR: GE_GERICHTE ATA/798/2012 du 22 novembre 2012</w:t>
      </w:r>
    </w:p>
    <w:p>
      <w:r>
        <w:t>IT: GE_GERICHTE ATA/798/2012 del 22 novembre 2012</w:t>
      </w:r>
    </w:p>
    <w:p>
      <w:pPr>
        <w:pStyle w:val="Heading2"/>
      </w:pPr>
      <w:r>
        <w:t>Erwägungen</w:t>
      </w:r>
    </w:p>
    <w:p>
      <w:r>
        <w:rPr>
          <w:b/>
        </w:rPr>
        <w:t>E. 1</w:t>
      </w:r>
    </w:p>
    <w:p>
      <w:r>
        <w:t>Interjeté le 14 novembre 2012 contre le jugement du TAPI prononcé et communiqué au conseil de l’intéressé le 5 novembre 2012,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w:t>
      </w:r>
    </w:p>
    <w:p>
      <w:r>
        <w:rPr>
          <w:b/>
        </w:rPr>
        <w:t>E. 2</w:t>
      </w:r>
    </w:p>
    <w:p>
      <w:r>
        <w:t>Selon l’art. 10 al. 2 LaLEtr, la chambre administrative doit statuer dans les dix jours qui suivent sa saisine. Le recours ayant été réceptionné le 14 novembre</w:t>
      </w:r>
    </w:p>
    <w:p>
      <w:r>
        <w:t>- 6/11 - A/3294/2012 2012, le délai de dix jours vient à échéance au plus tôt le 24 novembre 2012. En statuant ce jour, la chambre de céans respecte ce délai.</w:t>
      </w:r>
    </w:p>
    <w:p>
      <w:r>
        <w:rPr>
          <w:b/>
        </w:rPr>
        <w:t>E. 3</w:t>
      </w:r>
    </w:p>
    <w:p>
      <w:r>
        <w:t>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a. La légalité et l’adéquation de la détention doivent être examinées dans un délai de 96 heures par une autorité judiciaire, au terme d’une procédure orale sauf si la détention en vue du renvoi ou de l’expulsion a été ordonnée au sens de l’art. 77 LEtr (art. 80 al. 2 LEtr). Cette norme vise le contrôle automatique de la détention - comme en l'espèce -, et non directement les éventuelles demandes de mise en liberté émanant de la personne détenue elle-même (ATF 137 I 23 consid. 2.4.4).</w:t>
      </w:r>
    </w:p>
    <w:p>
      <w:r>
        <w:t>b. Pour établir la durée de la détention préparatoire ou en vue du refoulement, comme pour déterminer le respect du délai de 96 heures durant lequel la détention est examinée par une autorité judiciaire, il faut se fonder sur le moment à partir duquel l'intéressé a effectivement été détenu pour des motifs de droit des étrangers (ATF 127 II 174 consid. 2b.aa).</w:t>
      </w:r>
    </w:p>
    <w:p>
      <w:r>
        <w:t>c. Le Tribunal fédéral a jugé que dans le cas d’une personne libérée conditionnellement en Argovie, puis remise aux autorités genevoises compétentes en matière de police des étrangers, la libération conditionnelle n'avait pris effet que lors de la remise effective de l'intéressé aux autorités genevoises ; jusqu'à ce moment, sa détention, y compris le trajet en wagon cellulaire, avait revêtu un caractère pénal. Par conséquent, la détention administrative n'avait pas commencé au moment de sa sortie de la prison en Argovie, mais lors de son transfèrement effectif aux autorités genevoises compétentes (Arrêt du Tribunal fédéral 2C_618/2011 du 1er septembre 2011 consid. 2.2).</w:t>
      </w:r>
    </w:p>
    <w:p>
      <w:r>
        <w:rPr>
          <w:b/>
        </w:rPr>
        <w:t>E. 5</w:t>
      </w:r>
    </w:p>
    <w:p>
      <w:r>
        <w:t>En l'espèce, M. X______ se trouvait depuis le 15 mai 2012 en détention provisoire, donc pour des motifs pénaux, dans le canton de Vaud. Le Ministère public vaudois a émis le 31 octobre 2012 un ordre de relaxe qui prévoyait la remise en liberté pour le lendemain, en mains de la BRES. Celle-ci a effectué le transfèrement en fourgon cellulaire aux autorités genevoises, qui ont réceptionné l'intéressé le 1er novembre 2012 à 12h55.</w:t>
      </w:r>
    </w:p>
    <w:p>
      <w:r>
        <w:t>Le raisonnement tenu par le Tribunal fédéral dans l'arrêt précité s'applique pleinement au cas d'espèce. Le fait qu'une brigade de police spécialisée dans le renvoi des étrangers ait été chargée du transport en fourgon cellulaire, plutôt qu'une autre brigade de police ou des convoyeurs de prison, ne saurait modifier la</w:t>
      </w:r>
    </w:p>
    <w:p>
      <w:r>
        <w:t>- 7/11 - A/3294/2012 situation et faire passer les heures de transport en fourgon cellulaire de la détention pénale à la détention administrative.</w:t>
      </w:r>
    </w:p>
    <w:p>
      <w:r>
        <w:t>Le délai de 96 heures a donc commencé à courir le 1er novembre 2012 à 12h55, et a donc été respecté par le TAPI, qui a tenu audience le 9 novembre 2012 à 11h00. Le grief de violation de l'art. 80 al. 2 LEtr sera écarté.</w:t>
      </w:r>
    </w:p>
    <w:p>
      <w:r>
        <w:rPr>
          <w:b/>
        </w:rPr>
        <w:t>E. 6</w:t>
      </w:r>
    </w:p>
    <w:p>
      <w:r>
        <w:t>L’étranger qui fait l’objet d’une décision de refus d’asile est renvoyé de Suisse (art. 44 de la loi fédérale sur l'asile, du 26 juin 1998 - LAsi - RS 142.31). L’autorité cantonale désignée par l’ODM est tenue d’exécuter la décision de renvoi (art. 46 al. 1 LAsi et 69 al. 1 let. c LEtr).</w:t>
      </w:r>
    </w:p>
    <w:p>
      <w:r>
        <w:rPr>
          <w:b/>
        </w:rPr>
        <w:t>E. 7</w:t>
      </w:r>
    </w:p>
    <w:p>
      <w:r>
        <w:t>a. L'étranger en question peut être placé en détention administrative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t>b. De plus, l’étranger faisant l’objet d’une décision de renvoi peut être placé en détention administrative en vue de l’exécution de celle-ci s’il a été condamné pour crime ou s’il menace sérieusement d’autres personnes ou met gravement en danger leur vie ou leur intégrité corporelle et fait l’objet d’une poursuite pénale ou a été condamné pour ce motif (art. 76 al. 1 let. b ch. 1 et 75 al. 1 let. g et h LEtr).</w:t>
      </w:r>
    </w:p>
    <w:p>
      <w:r>
        <w:t>La notion de grave mise en danger de la vie ou de l’intégrité corporelle d’autres personnes ne vise pas que les situations dans lesquelles l’étranger a commis des infractions contre l’intégrité corporelle ou la vie au sens du titre premier des dispositions spéciales du Code pénal suisse du 21 décembre 1937 (CP - RS 311.0). Les faits incriminés peuvent être constitutifs d’infractions pénales appartenant à d’autres titres de la partie spéciale du CP, voire à d’autres lois. Il doit s’agir de faits mettant en jeu de manière concrète ou abstraite la santé physique ou psychique, l’intégrité corporelle ou la vie de tierces personnes. Au nombre de celles-ci figurent les infractions contre l’intégrité corporelle du titre cinquième du CP ou les infractions créant un danger collectif du titre septième de</w:t>
      </w:r>
    </w:p>
    <w:p>
      <w:r>
        <w:t>- 8/11 - A/3294/2012 cette loi. De même, on peut y rattacher les infractions à la loi fédérale sur les stupéfiants et les substances psychotropes du 3 octobre 1951 (LStup - RS 812.121), notamment le trafic de stupéfiants. Dans ce dernier domaine, la jurisprudence constante de la chambre de céans a été d’admettre qu’un trafic de stupéfiants portant sur de la cocaïne constituait une mise en danger sérieuse de la vie ou de l’intégrité corporelle d’autrui au sens de l’art. 75 al. 1 let. g LEtr, compte tenu de la dangerosité de ce produit (ATA/142/2012 du 14 mars 2012 confirmé par l’Arrêt du Tribunal fédéral 2C_293/2012 du 18 avril 2012, ainsi que les références citées).</w:t>
      </w:r>
    </w:p>
    <w:p>
      <w:r>
        <w:t>Selon le Tribunal fédéral, en droit des étrangers, l'examen d'éventuelles contraventions à l'ordre public suisse doit respecter le principe de la présomption d'innocence. Il y a lieu d'écarter de l'examen les délits qui n'ont pas donné lieu à condamnation, du moins lorsque les faits à leur origine n'ont pas expressément été reconnus par la personne mise en cause. Il n'est ainsi pas possible de fonder un refus d'autorisation de séjour pour contravention à l'ordre juridique suisse sur de simples dénonciations ou sur des procès-verbaux unilatéraux et contestés, et encore moins lorsqu'une autorité pénale a mis la personne concernée au bénéfice d'un non-lieu. Les infractions radiées du casier judiciaire peuvent en revanche être prises en considération (Arrêt du Tribunal fédéral 2C_749/2011 du 20 janvier 2012 consid. 3.3).</w:t>
      </w:r>
    </w:p>
    <w:p>
      <w:r>
        <w:t>c. Enfin, l’autorité compétente peut, afin d’en assurer l’exécution, mettre en détention la personne concernée si l’ODM a prononcé une décision de non-entrée en matière au sens de l’art. 32, al. 2, let. a à c, ou de l’art. 33 LAsi (art. 76 al. 1 let. b ch. 2 LEtr).</w:t>
      </w:r>
    </w:p>
    <w:p>
      <w:r>
        <w:rPr>
          <w:b/>
        </w:rPr>
        <w:t>E. 8</w:t>
      </w:r>
    </w:p>
    <w:p>
      <w:r>
        <w:t>En l’espèce, le recourant fait l'objet, depuis le 15 octobre 2009, d'une décision de non-entrée en matière sur sa demande d'asile, ainsi que de renvoi.</w:t>
      </w:r>
    </w:p>
    <w:p>
      <w:r>
        <w:t>Tant ses déclarations - il a dit à l'officier de police ne pas vouloir repartir pour le Nigeria car il risquerait d'y rencontrer des problèmes avec la police - que son comportement - il ne s'est pas présenté à l'embarquement le 1er juin 2010 et a disparu presque deux ans dans la clandestinité - suffisent en outre à démontrer le risque de fuite et le refus d'obtempérer aux injonctions des autorités.</w:t>
      </w:r>
    </w:p>
    <w:p>
      <w:r>
        <w:t>C'est ainsi à juste titre que le TAPI a admis que les conditions de la mise en détention administrative étaient réalisées, au sens de l'art. 76 al. 1 let. b ch. 2, 3 et 4 LEtr. Il n'est ainsi pas nécessaire d'examiner en l'état si, en l'absence d'une condamnation pénale, les conditions d'application des art. 76 al. 1 let. b ch. 1 et 75 al. 1 let. g et h LEtr sont remplies.</w:t>
      </w:r>
    </w:p>
    <w:p>
      <w:r>
        <w:rPr>
          <w:b/>
        </w:rPr>
        <w:t>E. 9</w:t>
      </w:r>
    </w:p>
    <w:p>
      <w:r>
        <w:t>L’autorité administrative doit entreprendre rapidement les démarches permettant l’exécution de la décision de renvoi (art. 76 al. 4 LEtr). La détention administrative doit respecter le principe de la proportionnalité, garanti par l’art. 36</w:t>
      </w:r>
    </w:p>
    <w:p>
      <w:r>
        <w:t>- 9/11 - A/3294/2012 al. 3 de la Constitution fédérale de la Confédération suisse du 18 avril 1999 (Cst. -RS 101).</w:t>
      </w:r>
    </w:p>
    <w:p>
      <w:r>
        <w:t>En l’occurrence, le recourant a été placé en détention administrative le 1er novembre 2012. A cette date, la police a commencé à organiser un vol de retour pour la seconde partie du mois de novembre, agissant ainsi avec célérité.</w:t>
      </w:r>
    </w:p>
    <w:p>
      <w:r>
        <w:t>La durée de la détention, qui est en l'état bien inférieure à la durée légale maximale de dix-huit mois (art. 79 LEtr, étant précisé que l'art. 76 al. 2 LEtr ne trouve pas application en l'espèce puisque le motif de détention retenu par le TAPI n'est pas l'un de ceux prévus à l'art. 76 al. 1 let. b ch. 5 ou 6 LEtr), respecte également la garantie constitutionnelle précitée.</w:t>
      </w:r>
    </w:p>
    <w:p>
      <w:r>
        <w:t>Le recourant invoque que le principe de proportionnalité commanderait de l'assigner à résidence plutôt que de le maintenir en détention. Toutefois, son comportement passé, allié à ses déclarations, telles que rappelées plus haut, ne permettent pas d’accorder crédit à son engagement de collaboration, manifestement dicté par les circonstances. En outre, le recourant n'a pas de lieu de séjour fixe ni d'attaches à Genève. Il n'existe dès lors pas d'alternative à sa détention administrative qui permette d'assurer l'exécution de son renvoi.</w:t>
      </w:r>
    </w:p>
    <w:p>
      <w:r>
        <w:t>Le grief de violation du principe de proportionnalité sera ainsi écarté.</w:t>
      </w:r>
    </w:p>
    <w:p>
      <w:r>
        <w:rPr>
          <w:b/>
        </w:rPr>
        <w:t>E. 10</w:t>
      </w:r>
    </w:p>
    <w:p>
      <w:r>
        <w:t>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w:t>
      </w:r>
    </w:p>
    <w:p>
      <w:r>
        <w:t>Le recourant n'invoque pas dans son recours de problème de santé qui empêcherait concrètement son renvoi, et le dossier ne comporte aucun élément permettant de retenir que ce dernier serait illicite, impossible ou inexigible, étant précisé que la question de son appartenance à un mouvement indépendantiste biafrais a déjà été examinée par le TAF dans son arrêt du 29 octobre 2009.</w:t>
      </w:r>
    </w:p>
    <w:p>
      <w:r>
        <w:rPr>
          <w:b/>
        </w:rPr>
        <w:t>E. 11</w:t>
      </w:r>
    </w:p>
    <w:p>
      <w:r>
        <w:t>M. X______ ne maintient pas non plus dans son recours le grief lié à la publicité des audiences prévue par l'art. 6 § 1 CEDH. A raison, car cette dernière disposition ne s'applique pas à la présente cause (DCEDH Kane c. Chypre du</w:t>
      </w:r>
    </w:p>
    <w:p>
      <w:r>
        <w:rPr>
          <w:b/>
        </w:rPr>
        <w:t>E. 13</w:t>
      </w:r>
    </w:p>
    <w:p>
      <w:r>
        <w:t>septembre 2011, req. n° 33655/06, sous C ; ACEDH [Grande Chambre] Maaouia c. France du 5 octobre 2000, req. n° 39652/98, § 33-41), car elle ne concerne ni des droits et obligations en matière civile, ni une accusation en matière pénale, mais une détention en vue d'expulsion au sens de l'art. 5 § 1 let. f CEDH.</w:t>
      </w:r>
    </w:p>
    <w:p>
      <w:r>
        <w:t>- 10/11 - A/3294/2012</w:t>
      </w:r>
    </w:p>
    <w:p>
      <w:r>
        <w:t>Selon la jurisprudence de la Cour européenne des droits de l'homme, les instances judiciaires relevant de l'art. 5 § 4 CEDH ne doivent pas toujours s'accompagner de garanties identiques à celles que l'art. 6 § 1 CEDH prescrit pour les litiges civils ou pénaux (ACEDH Stanev c. Bulgarie, du 17 janvier 2012, req. n° 36760/06, § 171). En particulier, si l'audience doit être contradictoire et respecter l'égalité des armes, le caractère public n'en est pas une composante nécessaire.</w:t>
      </w:r>
    </w:p>
    <w:p>
      <w:r>
        <w:t>Au surplus, l'audience en cause était publique, et, de manière générale, le caractère sécurisé du bâtiment n'empêche pas la venue de personnes intéressées, tenues simplement de s'annoncer comme telles à l'entrée ; il n'a du reste pas été allégué que quiconque se trouvant dans ce cas se soit vu refuser l'entrée du bâtiment. 12.</w:t>
      </w:r>
    </w:p>
    <w:p>
      <w:r>
        <w:t>Le recours sera ainsi rejeté.</w:t>
      </w:r>
    </w:p>
    <w:p>
      <w:r>
        <w:t>Aucun émolument ne sera perçu, la procédure étant gratuite (art. 11 al. 1 du règlement sur les frais, émoluments et indemnités en procédure administrative du 30 juillet 1986 - RFPA - E 5 10.03). Vu l’issue du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