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ATA/795/2022 vom 9. August 2022</w:t>
      </w:r>
    </w:p>
    <w:p>
      <w:r>
        <w:t>GE Cour de justice, 2022-08-09, FR</w:t>
      </w:r>
    </w:p>
    <w:p>
      <w:r>
        <w:rPr>
          <w:b/>
        </w:rPr>
        <w:t xml:space="preserve">Quelle: </w:t>
      </w:r>
      <w:r>
        <w:t>https://mcp.opencaselaw.ch/entscheid/ge_gerichte_ATA_795_2022</w:t>
      </w:r>
    </w:p>
    <w:p>
      <w:r>
        <w:t>FR: GE_GERICHTE ATA/795/2022 du 9 août 2022</w:t>
      </w:r>
    </w:p>
    <w:p>
      <w:r>
        <w:t>IT: GE_GERICHTE ATA/795/2022 del 9 agosto 2022</w:t>
      </w:r>
    </w:p>
    <w:p>
      <w:pPr>
        <w:pStyle w:val="Heading2"/>
      </w:pPr>
      <w:r>
        <w:t>Erwägungen</w:t>
      </w:r>
    </w:p>
    <w:p>
      <w:r>
        <w:rPr>
          <w:b/>
        </w:rPr>
        <w:t>E. 12</w:t>
      </w:r>
    </w:p>
    <w:p>
      <w:r>
        <w:t>septembre 1985 - LPA - E 5 10). 2)</w:t>
      </w:r>
    </w:p>
    <w:p>
      <w:r>
        <w:t>Le litige porte sur le bien-fondé de la décision du département du 25 février 2022 ordonnant à la recourante de rembourser l’acompte de CHF 38'022.80, qui lui avait été versé en vertu de la décision du 9 juillet 2021, fondée sur la loi 12'938 et son règlement d’application.</w:t>
      </w:r>
    </w:p>
    <w:p>
      <w:r>
        <w:t>a. Le 25 septembre 2020, l’Assemblée fédérale a adopté la loi fédérale sur les bases légales des ordonnances du Conseil fédéral visant à surmonter l’épidémie de Covid-19 (loi Covid-19 - RS 818.102) qui prévoit, à son art. 12, des mesures destinées aux entreprises.</w:t>
      </w:r>
    </w:p>
    <w:p>
      <w:r>
        <w:t>Le 25 novembre 2020, le Conseil fédéral a adopté l’ordonnance concernant les mesures pour les cas de rigueur destinées aux entreprises en lien avec l’épidémie de Covid-19 (ordonnance Covid-19 cas de rigueur 2020 ; ci-après : ordonnance Covid-19 - RS 951.262), modifiée à plusieurs reprises, qui prévoyait que la Confédération participait aux coûts et aux pertes que les mesures pour les cas de rigueur destinées aux entreprises occasionnaient à un canton (art. 1 al. 1). L’entreprise devait remplir un certain nombre d’exigences pour bénéficier du soutien financier (art. 2 et 3 ordonnance Covid-19)</w:t>
      </w:r>
    </w:p>
    <w:p>
      <w:r>
        <w:t>b. Au plan cantonal genevois,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 2021), complétée par son règlement d’application du 3 février 2021 (ci-après : aRAFE-2021), dont le but était notamment de limiter les conséquences économiques de la lutte contre l’épidémie pour les entreprises sises dans le canton, conformément à la loi et à l’ordonnance Covid-19 (art. 1 al. 1 aLAFE 2021).</w:t>
      </w:r>
    </w:p>
    <w:p>
      <w:r>
        <w:t>Ladite loi a été abrogée par la loi 12’938, adoptée par le Grand Conseil le 30 avril 2021.</w:t>
      </w:r>
    </w:p>
    <w:p>
      <w:r>
        <w:t>c. Selon l’art. 15 al. 1 et 2 de la loi 12'938, l’aide financière est accordée sur demande du bénéficiaire potentiel, et adressée au département sur la base d’un formulaire spécifique, accompagné notamment de toutes les pièces utiles nécessaires au traitement de la demande.</w:t>
      </w:r>
    </w:p>
    <w:p>
      <w:r>
        <w:t>- 9/15 - A/974/2022</w:t>
      </w:r>
    </w:p>
    <w:p>
      <w:r>
        <w:t>La liste des pièces requises ainsi que les modalités de dépôt des demandes figurent dans le règlement d’application de la présente loi (at. 13 al. 3 de la loi 12'938).</w:t>
      </w:r>
    </w:p>
    <w:p>
      <w:r>
        <w:t>Le Conseil d’État édicte les dispositions nécessaires à l’application de la présente loi (art. 22 de la loi 12'938), ce qu’il a fait avec le règlement d’application 12'938 du 5 mai 2021.</w:t>
      </w:r>
    </w:p>
    <w:p>
      <w:r>
        <w:t>d. Selon l’art. 15 al. 1 du règlement 12'938, le montant de l'indemnité pour l’année 2020 correspond à la différence entre les coûts totaux, hors impôts et taxes, et le chiffre d’affaires de l'entreprise en 2020.</w:t>
      </w:r>
    </w:p>
    <w:p>
      <w:r>
        <w:t>Le montant de l’indemnité pour la période du 1er janvier au 30 juin 2021 est déterminé sur la base d’un examen des états financiers de l’entreprise au 30 juin 2021, et correspond à la différence entre les coûts totaux, hors impôts et taxes, et le chiffre d’affaires de l'entreprise sur cette même période (art. 15 al. 2 du règlement 12'938).</w:t>
      </w:r>
    </w:p>
    <w:p>
      <w:r>
        <w:t>Pour toute demande déposée jusqu’au 30 juin 2021 pour la période du 1er janvier au 30 juin 2021, le montant de l'indemnité équivaut à 50 % du montant obtenu en application de l’alinéa 1, calculé sur 12 mois (taux forfaitaire) (art. 15 al. 3 du règlement 12'938). L’indemnité octroyée en application de l’al. 3 est versée à titre d’acompte, selon les modalités prévues par convention conclue en vertu de l’article 22. Le montant définitif est déterminé a posteriori sur la base d’un examen des états financiers de l’entreprise bénéficiaire au 30 juin 2021, selon les modalités prévues à l’al. 2 (art. 15 al. 4 du règlement 12'938).</w:t>
      </w:r>
    </w:p>
    <w:p>
      <w:r>
        <w:t>L'entreprise bénéficiaire d’une indemnité octroyée à titre d’acompte au sens de l’al. 3 est tenue de remettre au département les états financiers visés à l’al. 4 au plus tard le 31 octobre 2021 (art. 15 al. 5 du règlement 12'938).</w:t>
      </w:r>
    </w:p>
    <w:p>
      <w:r>
        <w:t>e. Selon l’art. 23 al. 1 du règlement 12'938, les demandes pour la période courant du 1er janvier 2020 au 30 juin 2021, accompagnées des justificatifs listés dans le formulaire, sont adressées au département au plus tard le 31 octobre 2021. Les demandes déposées hors du délai mentionné à l’al. 1 sont irrecevables (art. 23 al. 3 du règlement 12'938).</w:t>
      </w:r>
    </w:p>
    <w:p>
      <w:r>
        <w:t>Selon l’art. 27 al. 1 du règlement 12'938, en cas d’octroi d’une aide financière et versement d’un acompte, une décision rappelant les conditions et les modalités d’octroi et de versement, ainsi que les obligations du bénéficiaire est adressée aux entreprises. Cette décision indique les montants de l’aide financière et de l’acompte alloués (art. 27 al. 2 du règlement 12'938). 3) a. À teneur de l’art. 17 al. 1 LPA, les délais commencent à courir le lendemain de leur communication ou de l’événement qui les déclenche.</w:t>
      </w:r>
    </w:p>
    <w:p>
      <w:r>
        <w:t>- 10/15 - A/974/2022</w:t>
      </w:r>
    </w:p>
    <w:p>
      <w:r>
        <w:t>b. Un délai fixé par la loi ne peut être prolongé. Les cas de force majeure sont réservés (art. 16 al. 1 LPA). Celui qui n'agit pas dans le délai prescrit est forclos et la décision en cause acquiert force obligatoire (ATA/1068/2015 du 6 octobre 2015 consid. 5a ; ATA/918/2015 du 8 septembre 2015 consid. 3a).</w:t>
      </w:r>
    </w:p>
    <w:p>
      <w:r>
        <w:t>c. Les cas de force majeure sont réservés (art. 16 al. 1 2ème phr. LPA). Tombent sous cette notion les événements extraordinaires et imprévisibles qui surviennent en dehors de la sphère d’activité de l’intéressé et qui s’imposent à lui de façon irrésistible (SJ 1999 I 119 ; ATA/871/2019 du 7 mai 2019 et les références citées).</w:t>
      </w:r>
    </w:p>
    <w:p>
      <w:r>
        <w:t>En l'espèce, le délai, rappelé dans l’avenant signé par la recourante, est un délai légal, et non un délai d’ordre, puisque la loi prévoit une conséquence stricte en cas de non-respect. En effet, il ressort expressément du règlement d’application, que les demandes déposées hors du délai mentionné à l’al. 1 (donc au 31 octobre 2021) sont irrecevables (art. 23 al. 3 règlement 12'938). Une restitution de délai au sens de l’art. 16 al. 1 LPA n'entre en outre pas en ligne de compte, la recourante n'invoquant aucun argument susceptible d'amener à un constat différent. 4) a. L'autorité supporte en principe les conséquences de l'absence de preuve en ce sens que, si la notification ou sa date sont contestées et qu'il existe effectivement un doute à ce sujet, il y a lieu de se fonder sur les déclarations du destinataire de l'envoi (ATF 136 V 295 consid. 5.9 ; arrêt du Tribunal fédéral 2C_250/2018 du 26 octobre 2018 consid. 5.2 ; ATA/461/2018 du 8 mai 2018), dont la bonne foi est présumée (arrêt du Tribunal fédéral 1C_634/2015 du 26 avril 2016 consid. 2.1).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w:t>
      </w:r>
    </w:p>
    <w:p>
      <w:r>
        <w:t>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ATA/725/2018 du 10 juillet 2018 consid. 2c et les arrêts cités), à savoir dans sa boîte aux lettres ou sa case postale. Il n’est pas nécessaire que celui-ci en prenne réellement connaissance (ATF 142 III 599 consid. 2.4.1) ; il suffit qu’il puisse en</w:t>
      </w:r>
    </w:p>
    <w:p>
      <w:r>
        <w:t>- 11/15 - A/974/2022 prendre connaissance (arrêt du Tribunal fédéral 2C_430/2009 du 14 janvier 2010 consid. 2.2).</w:t>
      </w:r>
    </w:p>
    <w:p>
      <w:r>
        <w:t>b.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 l’expéditeur obtient des informations de dépôt, de tri et de distribution par voie électronique via le service en ligne « Suivi des envois ». Les envois « Courrier A+ » sont directement distribués dans la boîte aux lettres ou dans la case postale du destinataire. En cas d’absence, le destinataire ne reçoit pas d’invitation à retirer un envoi dans sa boîte aux lettres (document de La Poste suisse sur Internet « Courrier A+ » – La transparence tout au long du processus d’expédition » consulté le 2 août 2022, https://www.post.ch/fr/entreprises/expedition-transport/lettres-suisse/courrier-a- plus ; aussi ATF 142 III 599 consid. 2.1 ; ATA/725/2018 précité consid. 2b).</w:t>
      </w:r>
    </w:p>
    <w:p>
      <w:r>
        <w:t>Ainsi, lorsqu’une décision est notifiée par courrier A+,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8C_198/2015 du 30 avril 2015 consid. 3 ; 2C_570/2011, 2C_570/2011 du 24 janvier 2012 consid. 4.2 ; 2C_430/2009 précité consid. 2 ; ATA/1593/2017 du 12 décembre 2017 consid. 3c ; ATA/222/2017 du 21 février 2017 consid. 4), y compris lorsque c’est un samedi (arrêt du Tribunal fédéral 8C_198/2015 précité consid. 3).</w:t>
      </w:r>
    </w:p>
    <w:p>
      <w:r>
        <w:t>c. Dans le cas du dépôt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 ATA/725/2018 précité consid. 2c confirmé par l'arrêt du Tribunal fédéral 2C_799/2018 du 21 septembre 2018).</w:t>
      </w:r>
    </w:p>
    <w:p>
      <w:r>
        <w:t>- 12/15 - A/974/2022</w:t>
      </w:r>
    </w:p>
    <w:p>
      <w:r>
        <w:t>En outre, selon le Tribunal fédéral, en l'absence d'envoi recommandé, la preuve de la notification d'un acte peut résulter de l'ensemble des circonstances, en particulier de la correspondance échangée ou de l'absence de protestation de la part d'une personne qui reçoit des rappels (ATF 136 V 295 consid. 5.9 ; 105 III 43 consid. 3). 5)</w:t>
      </w:r>
    </w:p>
    <w:p>
      <w:r>
        <w:t>Aux termes de l'art. 5 al. 3 de la Constitution fédérale de la Confédération suisse du 18 avril 1999 (Cst. - RS 101),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136 I 254 consid. 5.2 ; 135 IV 212 consid. 2.6) 6)</w:t>
      </w:r>
    </w:p>
    <w:p>
      <w:r>
        <w:t>En l'espèce, la recourante soutient qu’elle n’aurait jamais reçu les courriers du département d’août et d’octobre 2021, lesquels rappelaient le délai fixé au 31 octobre 2021 pour déposer la nouvelle demande d’aide « cas de rigueur » et les pièces justificatives, ainsi que les conséquences attachées à l’absence de demande, soit l’obligation de rembourser l’acompte versé sur décision du 9 juillet 2021. L’art. 27 du règlement 12'938 n’aurait pas été respecté, dès lors que la décision du 9 juillet 2021, dûment reçue, ne mentionnait pas le délai légal précité.</w:t>
      </w:r>
    </w:p>
    <w:p>
      <w:r>
        <w:t>Or, plusieurs éléments ressortent du dossier et contredisent cette appréciation de la situation. Dans un premier temps, il sera relevé que la recourante a toujours reçu les décisions, tant la décision du 9 juillet 2021 lui octroyant une aide financière que la décision querellée du 25 février 2022, pourtant également envoyées en courrier A+.</w:t>
      </w:r>
    </w:p>
    <w:p>
      <w:r>
        <w:t>S’agissant des rappels et en particulier du dernier rappel du 22 octobre 2021, il ressort du relevé de suivi postal que ce courrier a été distribué le 23 octobre 2021, si bien que, conformément aux règles légales précitées, ce courrier est réputé avoir été notifié ce jour-là, moment où il est entré dans la sphère de pouvoir de la recourante. Cette dernière n’apporte aucun élément permettant de mettre en évidence un éventuel incident ou une erreur postale, qui expliquerait qu’elle ait reçu les décisions de juillet 2021 et de février 2022 mais pas les rappels d’août et d’octobre 2021, pourtant envoyés à la même adresse. Quoi qu’il en soit, dès lors que la décision du 9 juillet 2021 indiquait clairement les démarches à entreprendre et que les dates limites pour de telles démarches ressortaient tant des normes légales que de l’avenant, signé, cet élément n’est pas déterminant pour l’issue du litige.</w:t>
      </w:r>
    </w:p>
    <w:p>
      <w:r>
        <w:t>Selon la recourante, les rappels n’ayant pas été reçus, il aurait fallu lui envoyer une interpellation supplémentaire. Toutefois, aucune obligation légale ou règlementaire n’imposait au département de lui envoyer des rappels, a fortiori une nouvelle mise en demeure à l’issue du délai légal au 31 octobre 2021 précité. Cette date limite ressort expressément du règlement, mentionné dans la décision</w:t>
      </w:r>
    </w:p>
    <w:p>
      <w:r>
        <w:t>- 13/15 - A/974/2022 du 9 juillet 2021, et de l’avenant, dûment signé par les ayants-droits de la recourante le 29 juin 2021. La recourante ne pouvait donc, en agissant avec diligence, ignorer cette date qu’il lui appartenait de respecter. En outre, si la décision du 9 juillet 2021 ne mentionne effectivement pas la date limite, elle fait mention, conformément aux normes applicables, des conditions et modalités d’octroi, ainsi que des obligations du bénéficiaire. Si, certes, comme le soutient la recourante, la date limite aurait pu encore être indiquée dans la décision du 9 juillet 2021, comme le département l’a d’ailleurs fait dans son courrier du 5 avril 2022, la chambre de céans relève toutefois que le règlement n’impose nullement une telle obligation, de telle sorte que cette disposition n’a pas été violée.</w:t>
      </w:r>
    </w:p>
    <w:p>
      <w:r>
        <w:t>Dans ces conditions, au vu des éléments qui précèdent, il appartenait à la recourante d’être attentive à cette date limite et d’en prendre note, celle-ci ne ressortant pas seulement des normes applicables, mais lui ayant surtout été rappelée dans tous les courriers que le département lui a adressés, de même que dans l’avenant qu’elle a signé le 29 juin 2021.</w:t>
      </w:r>
    </w:p>
    <w:p>
      <w:r>
        <w:t>Enfin, le fait que le département ait suspendu en cours de procédure l’obligation de rembourser l’acompte, en attendant d’obtenir les documents pour 2021 et de l’octroi d’une possible aide financière pour une période postérieure à celle concernée par la décision querellée, n’indique pas, contrairement à ce que la recourante semble croire, une erreur de ce dernier mais simplement un traitement pragmatique de la demande, lui permettant de procéder par compensation. L’argumentation de la recourante à cet égard peut être également écartée.</w:t>
      </w:r>
    </w:p>
    <w:p>
      <w:r>
        <w:t>Finalement, il sera souligné que les éléments retenus pour déterminer le montant accordé à la recourante et partant, dont la restitution est ordonnée par le département, n’ont pas été contestés. 7)</w:t>
      </w:r>
    </w:p>
    <w:p>
      <w:r>
        <w:t>La recourante estime que le département aurait fait preuve de formalisme excessif.</w:t>
      </w:r>
    </w:p>
    <w:p>
      <w:r>
        <w:t>a.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Le strict respect des délais légaux se justifie pour des raisons d’égalité de traitement et par un intérêt public lié à une bonne administration de la justice et à la sécurité du droit (ATF 142 V 152 consid. 4.2 ; arrêt du Tribunal fédéral 8D_6/2016 du 1er juin 2017 consid. 3.2 ; ATA/564/2012 du 21 août 2012), et n’est pas constitutif de formalisme excessif (ATF 125 V 65 consid. 1).</w:t>
      </w:r>
    </w:p>
    <w:p>
      <w:r>
        <w:t>b. En l’espèce, comme déjà relevé, le département a attiré, par deux rappels, l’attention de la recourante sur les dates à respecter, dates qui ressortent d’ailleurs</w:t>
      </w:r>
    </w:p>
    <w:p>
      <w:r>
        <w:t>- 14/15 - A/974/2022 du règlement, de manière claire, ainsi que de l’avenant signé par ses soins. Dans ces circonstances, le grief de formalisme excessif doit être écarté, le respect des délais légaux n’étant pas constitutif de formalisme excessif au vu de la jurisprudence qui précède et permettant de garantir l’égalité de traitement entre les justiciables.</w:t>
      </w:r>
    </w:p>
    <w:p>
      <w:r>
        <w:t>Partant, mal fondé, le recours doit être rejeté. 8)</w:t>
      </w:r>
    </w:p>
    <w:p>
      <w:r>
        <w:t>Vu l’issue du litige, un émolument de CHF 500.- sera mis à la charge de la recourante (art. 87 al. 1 LPA). Aucune indemnité de procédure ne sera allouée au département qui, bien que plaidant par un avocat, dispose d’un service juridique (art. 87 al. 2 LPA ; ATA/1738/2019 du 3 décembre 2019).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