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ATA/795/2020 vom 25. August 2020</w:t>
      </w:r>
    </w:p>
    <w:p>
      <w:r>
        <w:t>GE Cour de justice, 2020-08-25, FR</w:t>
      </w:r>
    </w:p>
    <w:p>
      <w:r>
        <w:rPr>
          <w:b/>
        </w:rPr>
        <w:t xml:space="preserve">Quelle: </w:t>
      </w:r>
      <w:r>
        <w:t>https://mcp.opencaselaw.ch/entscheid/ge_gerichte_ATA_795_2020</w:t>
      </w:r>
    </w:p>
    <w:p>
      <w:r>
        <w:t>FR: GE_GERICHTE ATA/795/2020 du 25 août 2020</w:t>
      </w:r>
    </w:p>
    <w:p>
      <w:r>
        <w:t>IT: GE_GERICHTE ATA/795/2020 del 25 agosto 2020</w:t>
      </w:r>
    </w:p>
    <w:p>
      <w:pPr>
        <w:pStyle w:val="Heading2"/>
      </w:pPr>
      <w:r>
        <w:t>Regeste</w:t>
      </w:r>
    </w:p>
    <w:p>
      <w:r>
        <w:t>Résumé: Conformation du refus du renouvellement de l'autorisation de séjour avec activité lucrative sous l'angle des art. 18 ou 19 LEI. Les éléments avancés par le recourant sont insuffisants pour permettre de considérer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 La société, active dans l'impression 3D, n'a pas réalisé les objectifs annoncés lors de chaque demande de renouvellement. Elle a essuyé des pertes chaque année depuis le début de son activité. Elle rencontre également une certaine instabilité quant à son personnel, dont certains employés ont été engagés selon un salaire horaire variable et sur demande. Recours rejeté.</w:t>
      </w:r>
    </w:p>
    <w:p>
      <w:pPr>
        <w:pStyle w:val="Heading2"/>
      </w:pPr>
      <w:r>
        <w:t>Erwägungen</w:t>
      </w:r>
    </w:p>
    <w:p>
      <w:r>
        <w:rPr>
          <w:b/>
        </w:rPr>
        <w:t>E. 26</w:t>
      </w:r>
    </w:p>
    <w:p>
      <w:r>
        <w:t>septembre 2010 - LOJ - E 2 05 ; art. 62 al. 1 let. a de la loi sur la procédure administrative du 12 septembre 1985 - LPA - E 5 10).</w:t>
      </w:r>
    </w:p>
    <w:p>
      <w:r>
        <w:t>La qualité pour recourir de l'intéressé contre une décision de l'OCIRT souffrira de rester indécise (arrêt du Tribunal fédéral 2D_16/2018 du 10 août 2018 consid. 5.2 ; ATA/361/2020 du 16 avril 2020 consid. 1 et les arrêts cités), compte tenu de ce qui suit. 2) a. Aux termes de l'art. 65 al. 1 LPA, l'acte de recours contient, sous peine d'irrecevabilité, la désignation de la décision attaquée et les conclusions du recourant.</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(ATA/90/2019 du 29 janvier 2019 consid. 4b ; Stéphane GRODECKI/Romain JORDAN, Code annoté de procédure administrative genevoise, 2017, p. 215 n. 808).</w:t>
      </w:r>
    </w:p>
    <w:p>
      <w:r>
        <w:t>- 12/19 - A/2621/2019</w:t>
      </w:r>
    </w:p>
    <w:p>
      <w:r>
        <w:t>c. En l'occurrence, le recourant, qui procède en personne, n'a pas pris de conclusions formelles en annulation du jugement entrepris. On comprend toutefois de ses écritures qu'il conteste le jugement du TAPI, en tant que celui-ci a rejeté son recours et confirmé la décision de l'OCIRT du 11 juin 2019.</w:t>
      </w:r>
    </w:p>
    <w:p>
      <w:r>
        <w:t>Le recours est donc recevable sous cet angle. 3)</w:t>
      </w:r>
    </w:p>
    <w:p>
      <w:r>
        <w:t>Le présent litige porte sur le refus de l'OCIRT de délivrer au recourant une autorisation de séjour avec activité lucrative indépendante (permis B), contingentée. 4)</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5)</w:t>
      </w:r>
    </w:p>
    <w:p>
      <w:r>
        <w:t>Le 1er janvier 2019 est entrée en vigueur une modification de la LEI,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dès lors que la demande de renouvellement de l'autorisation de séjour avec activité lucrative en faveur du recourant a été déposée le 15 février 2019, soit après le 1er janvier 2019, c'est la LEI et l'OASA dans leur teneur après le 1er janvier 2019 qui s'appliquent. 6)</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l'Égypte (ATA/1289/2019 du 27 août 2019 consid. 4). 7) a. Selon l’art. 11 al. 1 LEI, tout étranger qui entend exercer en Suisse une activité lucrative doit être titulaire d’une autorisation, quelle que soit la durée de son séjour ; il doit la solliciter auprès de l’autorité compétente du lieu de travail envisagé.</w:t>
      </w:r>
    </w:p>
    <w:p>
      <w:r>
        <w:t>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(ATA/361/2020 du 16 avril 2020 consid. 4b et les arrêts cités).</w:t>
      </w:r>
    </w:p>
    <w:p>
      <w:r>
        <w:t>- 13/19 - A/2621/2019</w:t>
      </w:r>
    </w:p>
    <w:p>
      <w:r>
        <w:t>Quant à l'art. 19 LEI, celui-ci précise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w:t>
      </w:r>
    </w:p>
    <w:p>
      <w:r>
        <w:t>Comme l'a retenu le TAPI, que l'on examine la situation du recourant à l'aune de l'art. 18 ou de 19 LEI, son admission en vue d'exercer une activité lucrative en Suisse doit, dans tous les cas, servir les intérêts économiques du pays.</w:t>
      </w:r>
    </w:p>
    <w:p>
      <w:r>
        <w:t>c. Les autorités compétentes bénéficient d'un large pouvoir d'appréciation (ATA/361/2020 précité consid. 4b ; ATA/1660/2019 du 12 novembre 2019 consid. 4b). En raison de sa formulation potestative, les art. 18 et 19 LEI ne confèrent aucun droit à l'autorisation sollicitée (ATA/361/2020 précité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t>d. Selon le ch. 4.3.1 des Directives du SEM, domaine des étrangers, 2013, état au 1er juin 2019 (ci-après : Directives du SEM) – qui ne lient pas le juge mais dont celui-ci peut tenir compte pour assurer une application uniforme de la loi envers chaque administré et pourvu qu'elles respectent le sens et le but de la norme applicable (ATA/1660/2019 précité consid. 4c) –, l'autorités doit apprécier le cas en tenant compte en particulier de la situation sur le marché du travail, de l'évolution économique durable et de la capacité de l'étranger concerné de s'intégrer.</w:t>
      </w:r>
    </w:p>
    <w:p>
      <w:r>
        <w:t>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du SEM ch. 4.7.2.1).</w:t>
      </w:r>
    </w:p>
    <w:p>
      <w:r>
        <w:t>Dans la phase de création de l'entreprise, les autorisations seront délivrées, en règle générale,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al. 1 let. d LEI ; Directives du SEM ch. 4.7.2.2).</w:t>
      </w:r>
    </w:p>
    <w:p>
      <w:r>
        <w:t>- 14/19 - A/2621/2019</w:t>
      </w:r>
    </w:p>
    <w:p>
      <w:r>
        <w:t>e.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consid. 5.1 ; ATA/1147/2018 du 30 octobre 2018 consid. 7c ; ATA/1018/2017 du 27 juin 2017 consid. 4c ; Marc SPESCHA/ Antonia KERLAND/Peter BOLZLI, Handbuch zum Migrationsrecht, 2ème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Berne,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w:t>
      </w:r>
    </w:p>
    <w:p>
      <w:r>
        <w:t>f. Dans un dossier concernant une société active dans les services de conciergerie de luxe (ATA/896/2018 précité), la chambre administrative a considéré que le concept d'« intérêts économiques du pays » était une notion juridique indéterminée assez vague, de sorte que les sous-conditions énumérées dans les Directives du SEM, qui ne lient pas le juge, ne sauraient être appliquées avec une rigueur extrême. En outre, il ne ressortait ni de la doctrine ni de la jurisprudence qu'un certain seuil de chiffre d'affaires ou de bénéfice doive être dépassé pour que la condition de l'art. 19 let. b LEI soit remplie.</w:t>
      </w:r>
    </w:p>
    <w:p>
      <w:r>
        <w:t>g. L'autorité compétente peut révoquer – et a fortiori refuser de renouveler – une autorisation, à l'exception de l'autorisation d'établissement, ou une autre décision fondée sur la LEI, si l'étranger ne respecte pas les conditions dont la décision est assortie (art. 62 al. 1 let. d LEI).</w:t>
      </w:r>
    </w:p>
    <w:p>
      <w:r>
        <w:t>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- 15/19 - A/2621/2019 8)</w:t>
      </w:r>
    </w:p>
    <w:p>
      <w:r>
        <w:t>En l'espèce, l'activité du recourant consiste notamment à développer, réaliser et commercialiser des logiciels informatiques. Le projet de C______ vise plus particulièrement à offrir un outil pédagogique innovant qui permettait aux jeunes élèves de concevoir, modéliser puis imprimer en 3D, tout en assimilant des notions de géométrie et d'ingénierie, développer leur imagination et leur maîtrise de logiciels.</w:t>
      </w:r>
    </w:p>
    <w:p>
      <w:r>
        <w:t>Si l'on peut admettre avec le recourant que cette activité s'inscrit dans la politique récente du DIP consistant à former les jeunes élèves dans les nouveautés numériques, force est de constater que la concrétisation des projets annoncés et des objectifs prévus, notamment en matière de chiffre d'affaires, de bénéfice et de création d'emplois n'ont pas été atteints.</w:t>
      </w:r>
    </w:p>
    <w:p>
      <w:r>
        <w:t>Initialement, un bénéfice net de USD 3'838'473.-, une charge fiscale de USD 1'279'498.- et huit employés étaient projetés pour l'année 2016, un bénéfice net de USD 13'550'792.-, des impôts s'élevant à USD 4'516'931.- et quatorze employés en 2017, et enfin un bénéfice net de USD 14'852'729.-, une charge fiscale de USD 4'950'909.- et vingt employés en 2018 étaient annoncés. Or, ces objectifs n'ont, loin s'en faut, jamais été réalisés.</w:t>
      </w:r>
    </w:p>
    <w:p>
      <w:r>
        <w:t>Alors que le recourant a vu son autorisation de séjour conditionnelle prolongée par trois fois et que les projections ont été à chaque demande de renouvellement mises à jour à la baisse, les objectifs annoncés n'ont pas davantage été atteints.</w:t>
      </w:r>
    </w:p>
    <w:p>
      <w:r>
        <w:t>En effet, selon les états financiers audités au 31 décembre, la société a enregistré des pertes de CHF 380'211.67 en 2015, CHF 292'598.17 en 2016, CHF 1'020.- en 2017 (avec une perte reportée de CHF 692'019.-) et CHF 289'196.- en 2018 (avec une perte reportée de CHF 693'121.-), étant relevé que le recourant n'a pas produit l’état financier 2019 au 31 décembre audité. Ces résultats négatifs démontrent les difficultés de la société à s'implanter dans le marché du travail suisse.</w:t>
      </w:r>
    </w:p>
    <w:p>
      <w:r>
        <w:t>L'entreprise n'a ainsi pas, et cela quels que soient les motifs qui l'expliquent, connu le développement décrit ni dans le plan des affaires initialement produit ni dans les perspectives mises à jour lors des différentes demandes de renouvellement.</w:t>
      </w:r>
    </w:p>
    <w:p>
      <w:r>
        <w:t>En outre, il ressort du dossier que la société a connu une certaine instabilité quant à son personnel, certains employés ayant terminé leur activité, puis ayant été rapidement réengagés.</w:t>
      </w:r>
    </w:p>
    <w:p>
      <w:r>
        <w:t>Bien qu'active depuis 2015, il ressort de l'attestation relative à la déclaration des salaires versés par l'employeur à son personnel pour l'année 2018 qu'outre le recourant, trois personnes ont été employées par la société cette année-là. La</w:t>
      </w:r>
    </w:p>
    <w:p>
      <w:r>
        <w:t>- 16/19 - A/2621/2019 masse salariale annuelle pour ces emplois s'élevait à un total de CHF 208'350.- dont CHF 124'500.- pour le recourant. Même si la société a permis la création d'emplois pour la main d'œuvre locale (selon un salaire horaire variable et sur demande, à temps partiel ou à plein temps), force est de constater qu'elle sert principalement les intérêts particuliers du recourant. En outre, trois des contrats de travail figurant au dossier ne sont pas signés, si bien que la réalité de ces engagements n'est pas établie. Enfin, compte tenu du travail « à la demande », ces emplois peuvent être qualifiés de précaires, de sorte que l'on ne saurait parler de retombées durables positives pour le marché suisse du travail. À titre d'exemple, l'une de ces employés au bénéfice de ce type de contrat de travail a perçu seulement CHF 3'690.- en 2018, toujours selon l'attestation précitée.</w:t>
      </w:r>
    </w:p>
    <w:p>
      <w:r>
        <w:t>La jurisprudence citée par le recourant (ATA/896/2018 précité) ne lui est d'aucun secours, dans la mesure où d'une part, elle concernait une première demande d'autorisation de séjour pour activité lucrative et d'autre part, que la société en question présentait des exercices comptables avec un bénéfice stable, ce qui n'est pas le cas en l'espèce.</w:t>
      </w:r>
    </w:p>
    <w:p>
      <w:r>
        <w:t>En outre, force est de constater que le recourant a bénéficié de trois renouvellements de son autorisation de séjour avec activité lucrative de la part de l'OCIRT afin de pouvoir faire ses preuves. Ce nonobstant, il n'a pas réussi à atteindre les objectifs annoncés qu'il s'était lui-même fixés.</w:t>
      </w:r>
    </w:p>
    <w:p>
      <w:r>
        <w:t>Compte tenu de ces considérations, les éléments que fait valoir le recourant sont insuffisants pour permettre de considérer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w:t>
      </w:r>
    </w:p>
    <w:p>
      <w:r>
        <w:t>Dès lors que les conditions prévues à l'art. 18 ou à l'art. 19 LEI ne sont pas réalisées, tant l'OCIRT que le TAPI ont correctement appliqué la loi. L'OCIRT n'a pas abusé de son pouvoir d'appréciation en refusant de donner suite à la demande de renouvellement de l'autorisation de séjour avec activité lucrative en faveur du recourant (art. 62 al. 1 let. d LEI). 9)</w:t>
      </w:r>
    </w:p>
    <w:p>
      <w:r>
        <w:t>Mal fondé, le recours sera rejeté, en tant qu'il est recevable. 10) Vu l'issue du litige, un émolument de CHF 400.- sera mis à la charge du recourant, qui succombe (art. 87 al. 1 LPA), et aucune indemnité de procédure ne sera allouée (art. 87 al. 2 LPA).</w:t>
      </w:r>
    </w:p>
    <w:p>
      <w:r>
        <w:t>* * * * *</w:t>
      </w:r>
    </w:p>
    <w:p>
      <w:r>
        <w:t>- 17/19 - A/2621/2019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