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ATA/792/2018 vom 2. August 2018</w:t>
      </w:r>
    </w:p>
    <w:p>
      <w:r>
        <w:t>GE Cour de justice, 2018-08-02, FR</w:t>
      </w:r>
    </w:p>
    <w:p>
      <w:r>
        <w:rPr>
          <w:b/>
        </w:rPr>
        <w:t xml:space="preserve">Quelle: </w:t>
      </w:r>
      <w:r>
        <w:t>https://mcp.opencaselaw.ch/entscheid/ge_gerichte_ATA_792_2018</w:t>
      </w:r>
    </w:p>
    <w:p>
      <w:r>
        <w:t>FR: GE_GERICHTE ATA/792/2018 du 2 août 2018</w:t>
      </w:r>
    </w:p>
    <w:p>
      <w:r>
        <w:t>IT: GE_GERICHTE ATA/792/2018 del 2 agosto 2018</w:t>
      </w:r>
    </w:p>
    <w:p>
      <w:pPr>
        <w:pStyle w:val="Heading2"/>
      </w:pPr>
      <w:r>
        <w:t>Erwägungen</w:t>
      </w:r>
    </w:p>
    <w:p>
      <w:r>
        <w:rPr>
          <w:b/>
        </w:rPr>
        <w:t>E. 23</w:t>
      </w:r>
    </w:p>
    <w:p>
      <w:r>
        <w:t>novembre 2016 consid. 4a). Tel est notamment le cas du vol (art. 139 CP).</w:t>
      </w:r>
    </w:p>
    <w:p>
      <w:r>
        <w:t>b. En vertu de l’art. 76 al. 1 let. b LEtr, après notification d’une décision de première instance de renvoi ou d’expulsion au sens de la LEtr ou une décision de première instance d’expulsion au sens notamment des art. 66a ou 66abis CP,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w:t>
      </w:r>
    </w:p>
    <w:p>
      <w:r>
        <w:t>- 6/8 - A/2415/2018 d’appréciation (arrêts du Tribunal fédéral 2C_935/2011 du 7 décembre 2011 consid. 3.3 ). 5)</w:t>
      </w:r>
    </w:p>
    <w:p>
      <w:r>
        <w:t>En l’espèce, pour ce qui est du principe de la détention administrative du recourant, les conditions d’application de l’art. 76 al. 1 let. b ch. 3 et 4 LEtr ainsi que de l’art. 76 al. 1 let. b ch. 1 LEtr, qui renvoie notamment à l’art. 75 al. 1 let. h LEtr, sont réunies, comme l’a retenu à bon droit le TAPI. En effet, le recourant, qui a utilisé plusieurs identités, a été condamné pour crime et fait l’objet d’une mesure d’expulsion judiciaire exécutoire. Il s’est opposé à l’exécution de son renvoi le 11 juillet 2018 et a déclaré ne pas vouloir aller en Autriche. Il a ainsi démontré son absence de collaboration. 6)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Conformément à l’art. 76 al. 4 LEtr, les démarches nécessaires à l’exécution du renvoi ou de l’expulsion doivent être entreprises sans tarder.</w:t>
      </w:r>
    </w:p>
    <w:p>
      <w:r>
        <w:t>b. Aux termes de l’art. 79 LEtr, la détention en phase préparatoire et la détention en vue du renvoi ou de l’expulsion visées aux art. 75 à 77 LEtr ainsi que la détention pour insoumission visée à l’art. 78 LEtr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l’obtention des documents nécessaires au départ auprès d’un État qui ne fait pas partie des États Schengen prend du retard (let. b ; al. 2).</w:t>
      </w:r>
    </w:p>
    <w:p>
      <w:r>
        <w:t>c. En l’espèce, les autorités compétentes ont entrepris les démarches pour l’organisation du renvoi du recourant alors que celui-ci exécutait une peine privative de liberté. À la première date utile pour l’exécution de renvoi, le recourant a eu l’occasion de prendre un vol de ligne pour Vienne mais il a refusé d’embarquer. Les autorités ont aussitôt entrepris les démarches nécessaires pour un transfert par voie terrestre, en collaboration avec les autorités autrichiennes. Elles ont donc manifestement agi avec célérité. Il y a par ailleurs un intérêt public prépondérant à l’exécution de la mesure de renvoi compte tenu des motifs fondant la détention administrative. En outre, aucune autre mesure moins incisive n’est apte à garantir la présence de l’intéressé lors de l’exécution du renvoi.</w:t>
      </w:r>
    </w:p>
    <w:p>
      <w:r>
        <w:t>- 7/8 - A/2415/2018 7) a. Selon l’art. 80 al. 4 LEtr,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b. En l’espèce, le recourant se prévaut de son état de santé pour s’opposer à son renvoi.</w:t>
      </w:r>
    </w:p>
    <w:p>
      <w:r>
        <w:t>Les éléments qu’il met en avant à cet égard ne trouvent aucun fondement dans le dossier, hormis le fait qu’il est consommateur de stupéfiants, ce qui ne constitue pas en soi un motif pertinent au sens de la disposition susmentionnée pour ne pas exécuter un renvoi.</w:t>
      </w:r>
    </w:p>
    <w:p>
      <w:r>
        <w:t>Ainsi, l’exécution du renvoi n’apparaît ni impossible ni inexigible. 8)</w:t>
      </w:r>
    </w:p>
    <w:p>
      <w:r>
        <w:t>Au vu de ce qui précède, le recours sera rejeté.</w:t>
      </w:r>
    </w:p>
    <w:p>
      <w:r>
        <w:t>Vu la nature du litige, il ne sera pas perçu d’émolument (art. 87 al. 1 LPA et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