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ATA/791/2023 vom 18. Juli 2023</w:t>
      </w:r>
    </w:p>
    <w:p>
      <w:r>
        <w:t>GE Cour de justice, 2023-07-18, FR</w:t>
      </w:r>
    </w:p>
    <w:p>
      <w:r>
        <w:rPr>
          <w:b/>
        </w:rPr>
        <w:t xml:space="preserve">Quelle: </w:t>
      </w:r>
      <w:r>
        <w:t>https://mcp.opencaselaw.ch/entscheid/ge_gerichte_ATA_791_2023</w:t>
      </w:r>
    </w:p>
    <w:p>
      <w:r>
        <w:t>FR: GE_GERICHTE ATA/791/2023 du 18 juillet 2023</w:t>
      </w:r>
    </w:p>
    <w:p>
      <w:r>
        <w:t>IT: GE_GERICHTE ATA/791/2023 del 18 luglio 2023</w:t>
      </w:r>
    </w:p>
    <w:p>
      <w:pPr>
        <w:pStyle w:val="Heading2"/>
      </w:pPr>
      <w:r>
        <w:t>Erwägungen</w:t>
      </w:r>
    </w:p>
    <w:p>
      <w:r>
        <w:rPr>
          <w:b/>
        </w:rPr>
        <w:t>E. 30</w:t>
      </w:r>
    </w:p>
    <w:p>
      <w:r>
        <w:t>mai 2023). En outre, la chambre de céans a également connu plusieurs dossiers dans lesquels le département a ordonné des fermetures définitives avec une interdiction</w:t>
      </w:r>
    </w:p>
    <w:p>
      <w:r>
        <w:t>- 30/34 - A/3715/2022 d'exploiter durant dix ans. Les recours contre ces décisions ont tous été rejetés (ATA/443/2023 du 26 avril 2023 ; ATA/477/2022 du 4 mai 2022 ; ATA/1100/2020 du 3 novembre 2020 ; ATA/1373/2017 du 10 octobre 2017 ; ATA/486/2014 du 24 juin 2014). 9.10 En l'espèce, les manquements commis par la recourante doivent être qualifiés de graves. Celle-ci a caché – au mieux par négligence – sa situation financière obérée en ne la communiquant pas au département, contrairement à son obligation légale (art. 11 et 18 LProst). Par ailleurs, en servant de prête-nom à E______, elle a contrevenu à son obligation légale de gérer personnellement et effectivement les salons de massages et l'agence d'escorte. Elle a pris et accepté le risque que les établissements soient en réalité gérés par une personne dont les antécédents et la situation financière, qu'elle ne pouvait ignorer vu leurs liens, ne permettaient objectivement pas de garantir le respect des obligations permettant d'assurer des conditions d'exercice de la prostitution conformes à la loi. La fermeture définitive des salons de massages et de l'agence d'escorte ainsi que l'interdiction d'exploiter pour une durée de dix ans est nécessaire pour atteindre les intérêts poursuivis, notamment celui d’éviter d’exposer les prostituées, précarisées, à des atteintes à leur personnalité ainsi que favoriser l'exercice conforme au droit de l'activité de prostitution dans son ensemble (art. 1 let. a LProst). Au vu des graves manquements reprochés, une mesure moins incisive, soit un avertissement (art. 14 al. 2 let. a et 21 al. 2 let. a LProst) ou la fermeture temporaire du salon, pour une durée d'un à six mois, assortie d'une interdiction d'exploiter tout autre salon pour une durée analogue (art. 14 al. 2 let. b et 21 al. 2 let. b LProst), paraît insuffisante pour atteindre les buts visés par la LProst. La recourante ne conteste en effet pas qu'elle a déjà fait l'objet de trois avertissement depuis 2016, lesquels ne l'ont pas amenée à se comporter conformément à la loi. Par ailleurs, dans la mesure où le Tribunal fédéral a eu l'occasion de préciser à plusieurs reprises que la fermeture temporaire d'un salon de massages était conforme au principe de la proportionnalité dans les cas où des prostituées ressortissantes d'États tiers y exerçaient leur activité sans autorisation de séjour et de travail en Suisse (arrêt du Tribunal fédéral 2C_793/2014 du 24 avril 2015 consid. 4.3 et les arrêts cités), une fermeture définitive se justifie a fortiori lorsque, comme en l'espèce, les manquements reprochés sont plus nombreux et plus importants. L'ordre de fermeture ne prive en tout état pas la recourante de l'exercice de toute activité économique, mais uniquement dans le domaine de la prostitution. Au surplus, on ne saurait suivre la recourante lorsqu'elle soutient que le principe de la confiance aurait dû commander au département de lui accorder un temps</w:t>
      </w:r>
    </w:p>
    <w:p>
      <w:r>
        <w:t>- 31/34 - A/3715/2022 d'adaptation pour qu'elle cesse ou limite sa collaboration avec E______. En effet, il ressort des formulaires d'annonce des salons de massages en cause qu'elle était clairement indiquée comme l'unique personne responsable des salons, étant relevé que la convention quadripartite de gestion concerne un autre salon érotique fermé depuis lors. Les pièces jointes au formulaire d'annonce pour l'exploitation de l'agence d'escorte ne concernent d'ailleurs que la recourante (notamment sa pièce d'identité, son extrait du casier judiciaire et son attestation de non poursuite). Par ailleurs, il n’est pas contesté qu’elle n'a pas obtenu les préavis exigés par la loi pour les locaux et n’a par ailleurs pas demandé de dérogation au DT. Elle ne remplissait ainsi plus la condition personnelle prévue à l’art. 10 let. d LProst, situation qui justifiait une mesure selon l’art. 14 al. 1 let. b LProst, étant observé que l’infraction à la loi – soit le défaut de préavis favorable à l’occupation de locaux en raison de leur destination au logement – est en soi grave (ATA/568/2023 précité consid. 4.10). Selon la jurisprudence précitée, le département n’avait dès lors d’autre choix que d’ordonner la fermeture des salons de massages « F______ » et « H______ », en application de l’art. 14 al. 2 let. c LProst. Cette restriction apparaît fondée. En effet, la condition visant l'obtention du préavis repose sur une base légale et poursuit un intérêt public, soit notamment la préservation du logement en période de crise et l’exercice conforme au droit de l’activité de prostitution. Elle respecte le principe de proportionnalité. Aucune autre atteinte moins sévère à la liberté de la recourante n’apparaît susceptible de réaliser les objectifs d’intérêt public de la loi – en particulier, une fermeture temporaire ne permettrait pas de rendre définitivement au logement des locaux exploités pour une activité commerciale. Compte tenu de l’ensemble de ces éléments, l'intérêt de la recourante à pouvoir gérer un salon de prostitution et une agence d'escorte doit céder le pas à l'intérêt public au respect des conditions gouvernant l'exploitation de tels établissements. Enfin, la recourante ne conteste pas la quotité de l’amende qui lui a été infligée. Compte tenu de la gravité des infractions à la LProst, le montant de CHF 2'000.-, qui se situe encore au bas de la « fourchette » prévue par l’art. 25 al. 1 LProst, n'est pas critiquable. Les mesures et sanctions infligées à la recourante respectent donc le principe de la proportionnalité, de sorte que l'autorité intimée n'a pas violé la loi ni abusé de son pouvoir d'appréciation. Mal fondé, le recours sera rejeté. 10. Vu l’issue du litige, un émolument de CHF 1'000.- sera mis à la charge de la recourante, qui succombe (art. 87 al. 1 LPA). Il ne sera pas alloué d’indemnité de procédure (art. 87 al. 2 LPA).</w:t>
      </w:r>
    </w:p>
    <w:p>
      <w:r>
        <w:t>- 32/34 - A/3715/2022</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