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ATA/791/2013 vom 3. Dezember 2013</w:t>
      </w:r>
    </w:p>
    <w:p>
      <w:r>
        <w:t>GE Cour de justice, 2013-12-03, FR</w:t>
      </w:r>
    </w:p>
    <w:p>
      <w:r>
        <w:rPr>
          <w:b/>
        </w:rPr>
        <w:t xml:space="preserve">Quelle: </w:t>
      </w:r>
      <w:r>
        <w:t>https://mcp.opencaselaw.ch/entscheid/ge_gerichte_ATA_791_2013</w:t>
      </w:r>
    </w:p>
    <w:p>
      <w:r>
        <w:t>FR: GE_GERICHTE ATA/791/2013 du 3 décembre 2013</w:t>
      </w:r>
    </w:p>
    <w:p>
      <w:r>
        <w:t>IT: GE_GERICHTE ATA/791/2013 del 3 dicembre 2013</w:t>
      </w:r>
    </w:p>
    <w:p>
      <w:pPr>
        <w:pStyle w:val="Heading2"/>
      </w:pPr>
      <w:r>
        <w:t>Erwägungen</w:t>
      </w:r>
    </w:p>
    <w:p>
      <w:r>
        <w:rPr>
          <w:b/>
        </w:rPr>
        <w:t>E. 21</w:t>
      </w:r>
    </w:p>
    <w:p>
      <w:r>
        <w:t>décembre 1937 (CP - RS 311.0) s'appliquent à titre de droit cantonal supplétif, sous réserve de celles qui concernent exclusivement le juge pénal (comme notamment les art. 34 ss, 42 ss, 56 ss, 74 ss, 106 al. 2 et 3 et 107 CP ; P. MOOR, op. cit., p. 141).</w:t>
      </w:r>
    </w:p>
    <w:p>
      <w:r>
        <w:t>c. Il est ainsi nécessaire que le contrevenant ait commis une faute, fût-ce sous la forme d’une simple négligence (HÄFELIN/MÜLLER/UHLMANN, Allgemeines Verwaltungsrecht, 6ème éd., Zürich-Bâle-Genève 2006, p. 252, n. 1179). Selon la jurisprudence constante, l’administration doit faire preuve de sévérité afin d’assurer le respect de la loi et jouit d’un large pouvoir d’appréciation pour infliger une amende (ATA/14/2011 du 11 janvier 2011 ; ATA/788/2010 du 16 novembre 2010 ; ATA/571/2010 du 31 août 2010). La juridiction de céans ne la censure qu’en cas d’abus (ATA/160/2009 du 31 mars 2009). Enfin, l’amende doit respecter le principe de la proportionnalité (art. 36 al. 3 de la Constitution fédérale de la Confédération suisse du 18 avril 1999 - Cst. - RS 101 ; ATA/533/2010 du 4 août 2010 ; ATA/201/2010 du 23 mars 2010).</w:t>
      </w:r>
    </w:p>
    <w:p>
      <w:r>
        <w:t>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w:t>
      </w:r>
    </w:p>
    <w:p>
      <w:r>
        <w:t>En l’espèce, le recourant ne conteste pas la matérialité des faits mais fait valoir leur caractère exceptionnel, l’absence d’antécédents et la disproportion de la sanction en regard des gains réalisés durant la période considérée, tous éléments qui n’ont fait l’objet d’aucune investigation de la part du Scom avant qu’il ne prenne sa décision. Celle-ci a été rendue le même jour que le rapport de police sur lequel elle se fonde. L’autorité administrative n’a ainsi pas pu procéder à l’établissement de tous les éléments nécessaires et pertinents pour forger sa détermination, alors qu’il lui incombait de le faire (art. 19 et 20 LPA ; ATA/71/2012 du 31 janvier 2012). Le dossier ne révèle pas qu’il se serait heurté à une difficulté particulière à cet égard, ni ne fournit d’explications quant à la précipitation dans laquelle il a agi alors que le recourant est établi en Suisse.</w:t>
      </w:r>
    </w:p>
    <w:p>
      <w:r>
        <w:t>- 5/6 - A/2729/2011</w:t>
      </w:r>
    </w:p>
    <w:p>
      <w:r>
        <w:t>Dès lors, au vu de l’ensemble des circonstances et par économie de procédure dès lors que l’infraction est reconnue, la chambre administrative réduira l’amende infligée au minimum prévu par la loi, en retenant comme élément d’appréciation le montant de la recette journalière par le recourant et non contesté par le Scom. 6)</w:t>
      </w:r>
    </w:p>
    <w:p>
      <w:r>
        <w:t>Au vu de ce qui précède, le recours sera admis. La décision querellée sera partiellement annulée et le montant de l’amende administrative ramené à CHF 100.-.</w:t>
      </w:r>
    </w:p>
    <w:p>
      <w:r>
        <w:t>Vu l’issue du litige, aucun émolument ne sera mis à la charge du recourant, qui obtient gain de cause. Aucun émolument ne sera mis à la charge du Scom (art. 87 al. 1 LPA), nonobstant sa légèreté dans la gestion du dossier, dès lors que l’infraction est établie.</w:t>
      </w:r>
    </w:p>
    <w:p>
      <w:r>
        <w:t>Aucune indemnité de procédure ne sera allouée au recourant qui agit en personne et n’expose pas avoir encouru de frais particuliers pour sa défense.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