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ATA/788/2012 vom 20. November 2012</w:t>
      </w:r>
    </w:p>
    <w:p>
      <w:r>
        <w:t>GE Cour de justice, 2012-11-20, FR</w:t>
      </w:r>
    </w:p>
    <w:p>
      <w:r>
        <w:rPr>
          <w:b/>
        </w:rPr>
        <w:t xml:space="preserve">Quelle: </w:t>
      </w:r>
      <w:r>
        <w:t>https://mcp.opencaselaw.ch/entscheid/ge_gerichte_ATA_788_2012</w:t>
      </w:r>
    </w:p>
    <w:p>
      <w:r>
        <w:t>FR: GE_GERICHTE ATA/788/2012 du 20 novembre 2012</w:t>
      </w:r>
    </w:p>
    <w:p>
      <w:r>
        <w:t>IT: GE_GERICHTE ATA/788/2012 del 20 novembre 2012</w:t>
      </w:r>
    </w:p>
    <w:p>
      <w:pPr>
        <w:pStyle w:val="Heading2"/>
      </w:pPr>
      <w:r>
        <w:t>Regeste</w:t>
      </w:r>
    </w:p>
    <w:p>
      <w:r>
        <w:t>Résumé: Un étranger marié à une ressortissante suisse et qui est séparé de cette dernière ne peut pas prétendre aux conditions d'exception au ménage commun pour renouveler son autorisation de séjour au titre de regroupement familial, si le mariage a duré moins de trois. Les raisons personnelles majeures permettant de rester en Suisse, malgré une séparation et l'interruption de la vie commune, sont remplies lorsque le conjoint est victime de violence conjugale ou que la réintégration dans le pays de provenance semble compromise, ce qui n'est pas le cas en l'espèce.</w:t>
      </w:r>
    </w:p>
    <w:p>
      <w:pPr>
        <w:pStyle w:val="Heading2"/>
      </w:pPr>
      <w:r>
        <w:t>Erwägungen</w:t>
      </w:r>
    </w:p>
    <w:p>
      <w:r>
        <w:rPr>
          <w:b/>
        </w:rPr>
        <w:t>E. 16</w:t>
      </w:r>
    </w:p>
    <w:p>
      <w:r>
        <w:t>décembre 2005 (LEtr - RS 142.20), raison pour laquelle la question de l’intégration de M. R______ en Suisse n’avait pas à être examinée. Celui-ci n’alléguait pas que son renvoi au Kosovo serait impossible. Il avait un frère domicilié à Saint-Gall et des amis, mais le couple n’avait pas d’enfant commun et tout le reste de sa famille, à l’exception de son épouse, vivait au Kosovo. M. R______ était actuellement sans emploi et percevait des indemnités de chômage. Ses qualifications professionnelles n’étaient pas telles qu’elles justifient la poursuite de son séjour en Suisse. 15) Ce jugement a été expédié aux parties le 5 octobre 2011. 16) Le 7 novembre 2011, M. R______ a recouru à l’encontre de celui-là auprès de la chambre administrative de la Cour de justice (ci-après : la chambre administrative), en concluant principalement à son annulation, de même qu’à l’annulation de la décision de l’OCP du 28 octobre 2010, ainsi qu’à l’octroi de l’autorisation sollicitée. Il avait perdu son emploi auprès de R______ S.A. en juillet 2011 et cherchait une nouvelle activité. Le recours avait de par la loi effet suspensif. Il avait cohabité plus de trois ans avec son épouse. Le TAPI avait considéré à tort qu’il n’existait pas de raisons majeures au sens de l’art. 49 LEtr justifiant l’existence de domiciles séparés. Or, l’attitude du deuxième fils de Mme I______ R______ n’acceptant pas la relation de celle-ci avec lui-même engendrait de graves tensions. Ces dernières étaient la source de la dépression de son épouse. Une fois ces problèmes familiaux réglés, ils reprendraient la vie commune dès que les deux fils de Mme I______ R______ auraient quitté le domicile familial. Ils n’envisageaient ni l’un, ni l’autre, de divorcer. Il se réclamait de l’art. 8 de la Convention de sauvegarde des droits de l’homme et des libertés fondamentales du 4 novembre 1950 (CEDH - RS 0.101) et contestait l’ingérence des autorités dans sa relation familiale. 17) Le TAPI a fait savoir le 9 novembre 2011 qu’il n’avait pas d’observation à formuler. 18) L’OCP a conclu au rejet du recours le 14 décembre 2011. 19) Invité à présenter d’éventuelles observations au sujet de cette réponse, M. R______ a, le 11 janvier 2012, persisté dans ses conclusions. 20) En date du 5 septembre 2012, le juge délégué a demandé un complément d’informations à Mme I______ R______ sur sa situation familiale actuelle concernant le lieu de domicile de ses deux fils et le différend qui opposait l’un d’eux à son mari. L’intéressée n’a jamais répondu. 21) Le 16 janvier 2012, le juge délégué a informé les parties que la cause était gardée à juger.</w:t>
      </w:r>
    </w:p>
    <w:p>
      <w:r>
        <w:t>- 5/9 - A/4100/2010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42 al. 1 LEtr, le conjoint d’un ressortissant suisse a droit à l’octroi d’une autorisation de séjour et à la prolongation de la durée de sa validité à condition de vivre en ménage commun avec lui. 3)</w:t>
      </w:r>
    </w:p>
    <w:p>
      <w:r>
        <w:t>Il résulte du message du Conseil fédéral du 8 mars 2002 concernant la LEtr (FF 2002 3511 ch. 1.3.7.5) que le droit à la prolongation de l’autorisation de séjour du conjoint étranger d’un citoyen suisse est subordonné à la cohabitation des époux. L’octroi d’un droit de séjour implique donc l’existence effective d’une relation conjugale et la volonté de la maintenir. 4)</w:t>
      </w:r>
    </w:p>
    <w:p>
      <w:r>
        <w:t>Les art. 49 LEtr et 76 de l’ordonnance relative à l'admission, au séjour et à l'exercice d'une activité lucrative du 24 octobre 2007 (OASA - RS 142.201) prévoient une exception à la condition du ménage commun, soit la possibilité de prendre un domicile séparé selon le droit du mariage et ce, pour des motifs professionnels ou pour d’autres motifs importants et compréhensibles (ATA/699/2010 du 12 octobre 2010 ; ATA/599/2010 du 1er septembre 2010 ; ATA/592/2009 du 17 novembre 2009). 5)</w:t>
      </w:r>
    </w:p>
    <w:p>
      <w:r>
        <w:t>Le Tribunal fédéral considère qu’il « ressort de la formulation des art. 49 LEtr (« raisons majeures ») et 76 OASA (« problèmes familiaux importants ») que ces dispositions visent des situations exceptionnelles (arrêt 2C_273/2010 du 14 février 2011 consid. 4.1). De manière générale, il appartient à l'étranger d'établir l'existence de raisons majeures au sens de l'art. 49 LEtr, ainsi que le maintien de la communauté conjugale en dépit de domiciles séparés. Cela vaut d'autant plus que cette situation a duré plus longtemps, car une séparation d'une certaine durée fait présumer que la communauté conjugale a cessé d'exister » (Arrêts du Tribunal fédéral 2C_289/2012 du 12 juillet 2012 consid. 4.1.2 ; 2C_593/2011 du 19 mars 2012 consid. 3.1.1 ; 2C_300/2011 du 14 novembre 2011 consid. 2.1 ; 2C_273/2012 du 14 février 2011, consid. 4.1 ; 2C_575/2009 du 1er juin 2010 consid. 3.5 où la séparation avait duré plus d'une année). 6)</w:t>
      </w:r>
    </w:p>
    <w:p>
      <w:r>
        <w:t>Suite à son mariage le 4 avril 2008 avec Mme I______, ressortissante suisse, M. R______ a obtenu une autorisation de séjour dans le cadre du regroupement familial. Les époux se sont toutefois séparés en décembre 2009, après vingt et un mois environ et n’ont jamais repris la vie commune depuis.</w:t>
      </w:r>
    </w:p>
    <w:p>
      <w:r>
        <w:t>- 6/9 - A/4100/2010 7)</w:t>
      </w:r>
    </w:p>
    <w:p>
      <w:r>
        <w:t>Les époux R______ ont plusieurs fois affirmé que leur séparation était due aux pressions de l’entourage de Mme I______ R______ et à son état de santé. Lors de leur audition devant le TAPI le 20 septembre 2011, les époux n’ont pas manifesté de manière concordante une volonté de reprendre la vie commune.</w:t>
      </w:r>
    </w:p>
    <w:p>
      <w:r>
        <w:t>De plus, selon Mme I______ R______, la présence de son mari créait des tensions avec l’un de ses fils et cette situation perdurerait jusqu’à ce que ses enfants aient quitté la maison, à une date qui ne pouvait être déterminée en l’état.</w:t>
      </w:r>
    </w:p>
    <w:p>
      <w:r>
        <w:t>Or, il appartient au recourant de démontrer le maintien de la communauté conjugale, ou malgré la séparation, la volonté de conserver cette relation conjugale. 8)</w:t>
      </w:r>
    </w:p>
    <w:p>
      <w:r>
        <w:t>A ce jour, aucune demande en divorce ou en mesures protectrices de l’union conjugale n’a été déposée. Cela n’est toutefois pas déterminant et ne permet pas de conclure que la communauté conjugale est maintenue. Il faut considérer au contraire que la communauté conjugale qui n’a pas duré deux ans a cessé d’exister. Par conséquent, aucune dérogation au sens de l’art. 49 LEtr ne peut être accordée. 9)</w:t>
      </w:r>
    </w:p>
    <w:p>
      <w:r>
        <w:t>Selon l’art. 50 al. 1 LEtr, après la dissolution de la famille, le droit du conjoint à l’octroi d’une autorisation de séjour et à la prolongation de sa durée de validité en vertu des art. 42 et 43 LEtr subsiste dans les cas suivants :</w:t>
      </w:r>
    </w:p>
    <w:p>
      <w:r>
        <w:t>- l’union conjugale a duré au moins trois ans et l’intégration est réussie (let. a) ;</w:t>
      </w:r>
    </w:p>
    <w:p>
      <w:r>
        <w:t>- la poursuite du séjour en Suisse s’impose pour des raisons personnelles majeures (let. b).</w:t>
      </w:r>
    </w:p>
    <w:p>
      <w:r>
        <w:t>La condition de la durée de la vie conjugale n’étant pas remplie en l’espèce et étant cumulative avec celle de l’intégration réussie (ATA/699/2010 du 12 octobre 2010), l’art. 50 al. 1 let. a LEtr n’est pas applicable. 10) L’art. 83 LEtr prévoit qu’un étranger peut être admis provisoirement si l’exécution du renvoi ou de l’expulsion n’est pas possible, n’est pas licite ou ne peut être raisonnablement exigée. 11) En l’espèce, M. R______ n’a jamais allégué que s’il retournait au Kosovo il y serait en danger. De plus, il a encore un frère, des sœurs et sa mère qui vivent dans son pays d’origine, et avec lesquels il a, depuis qu’il est en Suisse, entretenu régulièrement des contacts et auxquels il a apporté un soutien financier. Il a acquis sa formation professionnelle dans son pays et il y a vécu pendant plus de vingt ans avant de venir en Suisse y déposer une première demande d’asile en 1998. Il pourra dès lors se réintégrer dans son pays, même si les conditions de vie s’y sont modifiées depuis.</w:t>
      </w:r>
    </w:p>
    <w:p>
      <w:r>
        <w:t>- 7/9 - A/4100/2010 12) Compte tenu de ce qui précède, le recours sera rejeté. Un émolument de CHF 400.- sera mis à la charge du recourant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