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ATA/783/2022 vom 9. August 2022</w:t>
      </w:r>
    </w:p>
    <w:p>
      <w:r>
        <w:t>GE Cour de justice, 2022-08-09, FR</w:t>
      </w:r>
    </w:p>
    <w:p>
      <w:r>
        <w:rPr>
          <w:b/>
        </w:rPr>
        <w:t xml:space="preserve">Quelle: </w:t>
      </w:r>
      <w:r>
        <w:t>https://mcp.opencaselaw.ch/entscheid/ge_gerichte_ATA_783_2022</w:t>
      </w:r>
    </w:p>
    <w:p>
      <w:r>
        <w:t>FR: GE_GERICHTE ATA/783/2022 du 9 août 2022</w:t>
      </w:r>
    </w:p>
    <w:p>
      <w:r>
        <w:t>IT: GE_GERICHTE ATA/783/2022 del 9 agosto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285consid. 6.3.1), ni celui d'obtenir l'audition de témoins (ATF 134 I 140 consid. 5.3 ; 130 II 425 consid. 2.1).</w:t>
      </w:r>
    </w:p>
    <w:p>
      <w:r>
        <w:t>b. En l’espèce, le recourant a pu se déterminer par écrit de manière circonstanciée devant le TAPI et la chambre de céans. Il n’expose pas en quoi son audition serait susceptible d’apporter des éléments complémentaires, étant relevé qu’il a renoncé à répliquer. Il n’y a pas lieu non plus d’entendre le Dr B______. Ce médecin n’était, en effet, pas présent le 7 janvier 2020, de sorte qu’il ne serait pas en mesure de témoigner de l’état de santé du recourant au moment des faits. Les agents de police présents le 7 janvier 2020 ont été entendus par le TP et leur déposition figure au dossier. Le recourant n’indique pas en quoi leur déposition serait incomplète ou sur quels faits il souhaiterait à nouveau les entendre. En outre, la reconstitution des faits n’est d’aucune utilité pour l’issue du litige. Seul l’état dans lequel se trouvait le recourant le 7 janvier 2020 est déterminant ; or, celui-ci ne peut être reconstitué. Enfin, au vu des autres éléments au dossier, notamment les propres déclarations du recourant, il apparaît que le dossier est complet et permet à la chambre de céans de trancher le litige sans procéder à d’autres actes d’instruction.</w:t>
      </w:r>
    </w:p>
    <w:p>
      <w:r>
        <w:t>Il ne sera donc pas donné suite aux réquisitions de preuve. 3)</w:t>
      </w:r>
    </w:p>
    <w:p>
      <w:r>
        <w:t>Le recourant conteste s’être endormi au volant de son véhicule le 7 janvier 2020 à 3h00, alors qu’il était arrêté à un feu.</w:t>
      </w:r>
    </w:p>
    <w:p>
      <w:r>
        <w:t>a. Lorsque le complexe de faits soumis au juge administratif a fait l’objet d’une procédure pénale, le juge administratif est en principe lié par le jugement pénal, notamment lorsque celui-ci a été rendu au terme d’une procédure publique</w:t>
      </w:r>
    </w:p>
    <w:p>
      <w:r>
        <w:t>- 8/13 - A/1294/2020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w:t>
      </w:r>
    </w:p>
    <w:p>
      <w:r>
        <w:t>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ATA/712/2021 précité consid. 7a).</w:t>
      </w:r>
    </w:p>
    <w:p>
      <w:r>
        <w:t>b. En l’espèce, la procédure pénale a porté sur les mêmes faits que ceux ayant donné lieu à la procédure administrative. Dans la procédure devant le TP, le recourant a pu s’exprimer et exposer sa version des faits. Il a notamment fait valoir qu’il ne s’était pas assoupi ou endormi au volant de son véhicule, mais qu’il avait été victime d'un malaise momentané. Or, le TP a retenu que le recourant avait conduit un véhicule automobile dans l'incapacité de conduire pour d'autres raisons que l'alcool et l’a condamné pour infraction à l’art. 91 al. 2 let. b LCR. Ce jugement n’a pas été contesté. Le recourant ne se prévaut d’aucun fait ou moyen de preuve nouveau qui permettrait de remettre en cause le jugement pénal qui retient son incapacité coupable à la conduite le 7 janvier 2020. La chambre de céans n’a donc pas de motif de s’en écarter.</w:t>
      </w:r>
    </w:p>
    <w:p>
      <w:r>
        <w:t>Comme l’a au demeurant relevé à juste titre le TAPI, même en l’absence de procédure pénale, il conviendrait de retenir que le recourant s’est endormi au volant le 7 janvier 2020. Il ressort du rapport de renseignement établi par la police que le recourant n'avait pas fait bouger son véhicule lorsque le feu était passé au vert, ce à plusieurs reprises. Les policiers ont dû ouvrir la portière de son véhicule pour le réveiller. Le recourant a déclaré à la police qu’il s'était senti très fatigué en prenant son véhicule. La description qu'il a faite des trois jours qui s’étaient écoulés avant son interpellation montre qu'il avait cumulé des efforts physiques inhabituels et un grand retard de sommeil, en particulier depuis la journée du 5 janvier 2020. Les policiers étant intervenus le 7 janvier 2020 ont déclaré devant le TP que si le recourant avait évoqué un malaise au moment des faits, ils l’auraient mentionné dans le procès-verbal d'audition, ce qui n'avait toutefois pas été le cas.</w:t>
      </w:r>
    </w:p>
    <w:p>
      <w:r>
        <w:t>- 9/13 - A/1294/2020</w:t>
      </w:r>
    </w:p>
    <w:p>
      <w:r>
        <w:t>Le recourant ayant lui-même directement après les faits évoqué une grande fatigue, ses premières déclarations lui sont opposables. En outre, son médecin, qui – comme indiqué ci-dessus – ne se trouvait pas sur les lieux le 7 janvier 2020 ni n’a ausculté le recourant le jour même, ne fait qu’alléguer l’hypothèse d'un malaise dissociatif. Enfin, le recourant a admis qu'il lui est déjà arrivé de s'assoupir dans sa voiture une fois garé devant chez lui, soit durant une phase d'arrêt de son véhicule.</w:t>
      </w:r>
    </w:p>
    <w:p>
      <w:r>
        <w:t>Au vu de l’ensemble de ces éléments, il sera retenu que, le 7 janvier 2020, le recourant s'est assoupi au volant alors que sa voiture était à l'arrêt devant un signal lumineux en phase rouge. 4)</w:t>
      </w:r>
    </w:p>
    <w:p>
      <w:r>
        <w:t>Le recourant conteste le retrait, respectivement la durée du retrait de permis.</w:t>
      </w:r>
    </w:p>
    <w:p>
      <w:r>
        <w:t>a. Selon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Est tenu de s'abstenir de conduire quiconque n'en est pas capable parce qu'il est surmené, sous l'effet de l'alcool, d'un médicament, d'un stupéfiant ou pour toute autre raison (art. 2 al. 1 OCR).</w:t>
      </w:r>
    </w:p>
    <w:p>
      <w:r>
        <w:t>b. Pour déterminer s'il y a lieu de prononcer un retrait d'admonestation et le cas échéant sa durée, la LCR distingue les infractions légères, moyennement graves et graves (art. 16a à 16c LCR).</w:t>
      </w:r>
    </w:p>
    <w:p>
      <w:r>
        <w:t>Selon l'art. 16c al. 1 let. c LCR, commet une infraction grave la personne qui conduit un véhicule automobile alors qu'elle est incapable de conduire du fait de l'absorption de stupéfiants ou de médicaments ou pour d'autres raisons. Le fait de s'assoupir au volant constitue en règle générale une faute grave, dès lors qu'on peut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 hypnose de l'autoroute »,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w:t>
      </w:r>
    </w:p>
    <w:p>
      <w:r>
        <w:t>- 10/13 - A/1294/2020 de vitesse ; ATF 126 II 206 consid. 1b ; arrêts du Tribunal fédéral 1C_555/2008 du 1er avril 2009 consid. 4).</w:t>
      </w:r>
    </w:p>
    <w:p>
      <w:r>
        <w:t>c.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La faute du conducteur qui poursuit sa route dans ces conditions demeure grave malgré les précautions prises qui peuvent, au demeurant, être exigées de tous les conducteurs qui effectuent de longs trajets. Par ailleurs, celles-ci demeurent sans incidence sur l'appréciation de la gravité de la mise en danger du trafic, qui résulte de la perte totale de maîtrise du véhicule après l'assoupissement (ibid.).</w:t>
      </w:r>
    </w:p>
    <w:p>
      <w:r>
        <w:t>d. Le Tribunal fédéral a considéré que l'incapacité en raison du surmenage ou toute autre raison tombe sous le coup de l'art. 91 al. 2 let. b LCR et 16c al. 1 let. c LCR (arrêt 6B_252/2011 du 22 août 2011). Le fait de conduire dans un état de fatigue extrême était aussi dangereux pour la circulation que l’ivresse (RDAF 1977 p. 323 = JdT 1978 I 399 n° 12). Le conducteur surmené qui prend la route, nonobstant les signes de la fatigue, puis s'endort au volant à un carrefour, même en immobilisant son véhicule et en coupant le moteur, viole l'art. 31 al. 2 LCR (arrêt du Tribunal fédéral 1C_555/2008 du 1er avril 2009 ; Jacques BUSSY/Baptiste RUSCONI, Code suisse de la circulation routière commenté, n. 2.2.4 ad art. 31 LCR). La conduite en état d’incapacité constitue pour le moins une mise en danger abstraite accrue grave de la sécurité routière (ATF 130 IV 32 consid. 5 ; Cédric MIZEL, Droit et pratique illustrée du retrait du permis de conduire, 2015, p. 499).</w:t>
      </w:r>
    </w:p>
    <w:p>
      <w:r>
        <w:t>e. En l'espèce, le recourant a perçu des signes avant-coureurs de la fatigue puisqu'il a expliqué qu'il aurait voulu se coucher plus tôt, mais que c'est parce qu'il avait dû ramener des amis qu'il avait retardé ses projets. En outre, il a indiqué qu'il avait cumulé des efforts physiques inhabituels et un grand retard de sommeil durant les trois jours précédents l’incident. L'absorption d’une boisson de type « RedBull » la nuit du 4 au 5 janvier 2020 avait eu pour but de surmonter son état de fatigue et de lui permettre de restreindre son besoin de sommeil. C’est dans ces conditions qu’il s'est assoupi au volant à l’arrêt devant un feu rouge. Se sachant fatigué, notamment au vu des efforts physiques inhabituels qu’il avait fournis les trois jours précédents l’incident et du manque de sommeil accumulé, dont il avait</w:t>
      </w:r>
    </w:p>
    <w:p>
      <w:r>
        <w:t>- 11/13 - A/1294/2020 perçu les signes, mais en prenant néanmoins le volant, le recourant a commis une faute qui doit être qualifiée de grave. 5) a.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w:t>
      </w:r>
    </w:p>
    <w:p>
      <w:r>
        <w:t>La durée minimale du retrait du permis de conduire prévue par la loi ne peut pas être réduite (art. 16 al. 3 LCR ; ATF 132 II 234 consid. 2 ; arrêts du Tribunal fédéral 1C_312/2015 du 1er juillet 2015 consid. 3.3).</w:t>
      </w:r>
    </w:p>
    <w:p>
      <w:r>
        <w:t>b. En l'espèce, l’autorité intimée a respecté le cadre légal, s’en étant tenu au minimum légal prévu par l’art. 16 al. 2 let. d LCR en fixant à une durée indéterminée, mais au minimum à deux ans, la durée du retrait du permis de conduire du recourant. À juste titre, le SCV n’a pas tenu compte des besoins professionnels ou de déplacements allégués par le recourant, la durée minimale de retrait ne pouvant pas être réduite. 6)</w:t>
      </w:r>
    </w:p>
    <w:p>
      <w:r>
        <w:t>Le recourant ne semble plus contester la portée de la sanction qui s’étend aux véhicules des catégories spéciales F, G et M et des véhicules pour lesquels un permis de conduire n'est pas nécessaire. Il peut donc être renvoyé aux développements du TAPI à cet égard (consid. 30 à 42), que la chambre de céans fait siens en tant que de besoin, y compris le fait que l'interdiction de conduire ne s'étend pas aux cyclomoteurs légers, dont font partie les vélos et trottinettes électriques pouvant atteindre la vitesse de respectivement 25 km/h et 20 km/h maximum, de sorte que le recours devant le TAPI était sans objet à cet égard.</w:t>
      </w:r>
    </w:p>
    <w:p>
      <w:r>
        <w:t>Le recourant ne conteste plus non plus l’obligation de se soumettre à une expertise auprès du CURML, bien qu’il estime que celle-ci résulte de faits ultérieurs à la décision du SCV. Cela étant, cette obligation est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Cette exigence est apte à atteindre le but qu'elle poursuit, à savoir de s'assurer que le recourant ne reprenne le volant qu'à condition qu'il soit démontré qu'il est apte à la conduite de véhicules à moteur. L'atteinte ainsi portée à ses intérêts privés se justifie au regard de l'intérêt public à la sécurité des autres usagers de la route. Ainsi, à supposer que l’expertise du CURML lui soit favorable, le recourant pourra récupérer son permis de conduire. Le chef de conclusions selon lequel l’effet suspensif devait être restitué à</w:t>
      </w:r>
    </w:p>
    <w:p>
      <w:r>
        <w:t>- 12/13 - A/1294/2020 condition du résultat positif de l’expertise du CURML n’a donc pas de portée propre.</w:t>
      </w:r>
    </w:p>
    <w:p>
      <w:r>
        <w:t>En conclusion, la décision du SCV est conforme au droit et ne consacre pas d’excès ou d’abus du pouvoir d'appréciation de ce service.</w:t>
      </w:r>
    </w:p>
    <w:p>
      <w:r>
        <w:t>Mal fondé, le recours sera ainsi rejeté. 7)</w:t>
      </w:r>
    </w:p>
    <w:p>
      <w:r>
        <w:t>Malgré l'issue du litige, il ne sera pas perçu d’émolument, le recourant plaidant au bénéfice de l’assistance juridique. Il n’y a pas lieu à l’allocation d’une indemnité de procédure, le recourant succombant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