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ATA/783/2021 vom 27. Juli 2021</w:t>
      </w:r>
    </w:p>
    <w:p>
      <w:r>
        <w:t>GE Cour de justice, 2021-07-27, FR</w:t>
      </w:r>
    </w:p>
    <w:p>
      <w:r>
        <w:rPr>
          <w:b/>
        </w:rPr>
        <w:t xml:space="preserve">Quelle: </w:t>
      </w:r>
      <w:r>
        <w:t>https://mcp.opencaselaw.ch/entscheid/ge_gerichte_ATA_783_2021</w:t>
      </w:r>
    </w:p>
    <w:p>
      <w:r>
        <w:t>FR: GE_GERICHTE ATA/783/2021 du 27 juillet 2021</w:t>
      </w:r>
    </w:p>
    <w:p>
      <w:r>
        <w:t>IT: GE_GERICHTE ATA/783/2021 del 27 luglio 2021</w:t>
      </w:r>
    </w:p>
    <w:p>
      <w:pPr>
        <w:pStyle w:val="Heading2"/>
      </w:pPr>
      <w:r>
        <w:t>Erwägungen</w:t>
      </w:r>
    </w:p>
    <w:p>
      <w:r>
        <w:rPr>
          <w:b/>
        </w:rPr>
        <w:t>E. 9</w:t>
      </w:r>
    </w:p>
    <w:p>
      <w:r>
        <w:t>RE).</w:t>
      </w:r>
    </w:p>
    <w:p>
      <w:r>
        <w:t>d. La jurisprudence de la commission de recours de l'université (ci-après : CRUNI) posait à l'époque comme principe le contrôle du travail incriminé à l'aune de la loi fédérale sur le droit d'auteur et les droits voisins du 9 octobre 1992 (LDA - RS 231.1 ; ACOM/67/2008 du 28 mai 2008). À teneur des art. 2 et 3 LDA, une œuvre littéraire est protégée, de même que les œuvres dérivées, à savoir toute création de l'esprit qui a un caractère individuel, mais qui a été conçue à partir d'une ou plusieurs œuvres préexistantes reconnaissables dans leur caractère individuel. L'art. 25 LDA prévoit pour sa part que les citations tirées d'œuvres divulguées sont licites dans la mesure où elles servent de commentaire, de référence ou de démonstration et pour autant que leur emploi en justifie l'étendue. Ce droit d'opérer des citations conformément à cette disposition doit être apprécié au sens strict et de manière restrictive, étant précisé que le terme citation n'est pas synonyme d'extrait (ACOM/100/2004 du 6 octobre 2004). Lors de l'élaboration d'un travail soumis à évaluation par un étudiant, celui-ci doit impérativement se distancer des ouvrages de référence dont il s'est inspiré pour fonder son opinion, de manière à se faire l'auteur à son tour d'une création indépendante, donc les emprunts à ces ouvrages doivent apparaître à ce point minimes qu'ils s'effacent devant l'individualité de son travail et dont la substance sera l'objet de l'évaluation (ATF 125 III 328 consid. 4b ; ATA/499/2009 du 6 octobre 2009).</w:t>
      </w:r>
    </w:p>
    <w:p>
      <w:r>
        <w:t>Tant la CRUNI que l'ancien Tribunal administratif ont rendu une jurisprudence abondante en matière de plagiat. Dans la plupart des cas il s'agissait de copies serviles d'ouvrages (ATA/499/2009 précité ; ACOM/109/2008 du 25 novembre 2008 ; ACOM/100/2004 précité) ou de compilations systématiques de sources trouvées sur internet (ACOM/60/2008 du 7 mai 2008 ; ACOM/22/2005 du 21 avril 2005).</w:t>
      </w:r>
    </w:p>
    <w:p>
      <w:r>
        <w:t>Dans un arrêt récent encore (ATA/1373/2019 précité), la chambre de céans a considéré qu'un étudiant ne saurait tirer profit d’avoir mis des notes de bas de page, lorsque son travail de mémoire apparaît comme une copie servile de pages entières d’ouvrages consultés, avec une appropriation active des idées de leurs auteurs. Ce procédé ne saurait en effet autoriser la reprise des pages entières des auteurs cités. Par ailleurs, un taux de similitudes d’environ 50 % des ouvrages cités, constaté par un logiciel anti-plagiat, va au-delà de simples extraits qui doivent apparaître comme minimes dans un travail de mémoire. Il dénote en outre</w:t>
      </w:r>
    </w:p>
    <w:p>
      <w:r>
        <w:t>- 13/17 - A/2958/2020 une absence de création indépendante, d’individualité ou d’originalité qui doivent pourtant caractériser un mémoire.</w:t>
      </w:r>
    </w:p>
    <w:p>
      <w:r>
        <w:t>e. Selon la doctrine, l'ampleur de la citation au sens de l'art. 25 LDA doit être limitée. Cette limitation s'inscrit en l'occurrence dans la libre utilisation de l'œuvre protégée qui autorise de se servir de certains éléments de cette œuvre, à la condition qu'il en résulte une création indépendante, dont l'individualité se substitue à l'individualité de l'œuvre antérieure. Cette individualité doit se reconnaître dans l'œuvre ainsi créée, malgré les emprunts, le cachet personnel étant la meilleure preuve que l'œuvre est originale (ACOM/100/2004 précité ; Denis BARRELET/Willi EGLOFF, Le nouveau droit d'auteur, 3ème éd., 2008, p. 177 ; François DESSEMONTET, Le nouveau droit d'auteur, 1999, p. 44, 115 ; Ivan CHERPILLOD, Le droit d'auteur en Suisse, 1986, p. 149).</w:t>
      </w:r>
    </w:p>
    <w:p>
      <w:r>
        <w:t>En revanche, le défaut de création personnelle traduisant un apport imaginatif inhérent à l'œuvre dérivée et propre à se distancier de l'œuvre de base, de même que l'étendue exagérée de la citation sans justification particulière constituent des comportements illicites qui outrepassent la liberté d'utilisation (Kamen TROLLER, Manuel du droit Suisse des biens immatériels, tome 2, 2ème éd., 1996, p. 891 ; Ivan CHERPILLOD, op. cit., p. 150).</w:t>
      </w:r>
    </w:p>
    <w:p>
      <w:r>
        <w:t>À cet égard, l'auteur d'un plagiat ne s'inspire pas seulement d'une œuvre préexistante. Contrefacteur, il porte atteinte au « droit moral » de l'auteur de l'œuvre protégée, en procédant à la reprise de la matérialisation ou de la forme d'une œuvre déterminée, la reproduisant ainsi d'une manière illicite, pouvant en outre constituer un acte de concurrence déloyale (Denis BARRELET/ Willi EGLOFF, op. cit., p. 48 ; Kamen TROLLER, op. cit., p. 890 ; Manfred REHBINDER, Schweizerisches Urheberrecht, 2000, p. 147 ; Ivan CHERPILLOD, op. cit., p. 150).</w:t>
      </w:r>
    </w:p>
    <w:p>
      <w:r>
        <w:t>f. La jurisprudence du Tribunal fédéral va dans le même sens. L'individualité ou l'originalité doivent caractériser l'œuvre en droit d'auteur, dont on peut mesurer le degré à l'aune du sceau de la personnalité de l'auteur dans son travail lorsqu'il manifeste des traits caractéristiques évidents ou des différences sensibles avec ce qui existe déjà (ATF 125 III 328 consid. 4b ; arrêt du Tribunal fédéral 6S.694/1992 du 2 mars 1993 consid. 3b = JdT 1996 I 242).</w:t>
      </w:r>
    </w:p>
    <w:p>
      <w:r>
        <w:t>Il y a ainsi lieu de conclure à une violation du droit d'auteur lorsqu'une œuvre est reproduite dans ses éléments caractéristiques, à savoir plan, choix et conception de la matière ou disposition et subdivisions de celle-ci (ATF 88 IV 123 consid. 1). 8)</w:t>
      </w:r>
    </w:p>
    <w:p>
      <w:r>
        <w:t>En l'espèce, le recourant a rendu en août 2019 un travail de mémoire comportant cinquante-neuf pages, dont quarante et une de texte à proprement parler. Ce mémoire a été soumis à un logiciel anti-plagiat au mois de</w:t>
      </w:r>
    </w:p>
    <w:p>
      <w:r>
        <w:t>- 14/17 - A/2958/2020 septembre 2019. Il ressort du rapport de ce logiciel ainsi que d'un examen attentif du texte que plus d'une trentaine de passages du texte du mémoire ont été extraits et recopiés à l'identique d'un rapport de l'OMS traitant du sujet choisi par le recourant pour son travail. Si les citations comportent de très nombreuses notes de bas de page renvoyant à une bibliographie en fin d'ouvrage, il est indéniable que l'étudiant n'a pas utilisé de guillemets pour marquer une différence entre les passages cités et ceux qui découleraient de sa propre réflexion. Toutefois, conformément à la jurisprudence précitée, même à considérer que des guillemets auraient été ajoutés, le travail du recourant ne peut pas, dans ces conditions, être qualifié de création personnelle. En effet, bien que le recourant ait allégué n'avoir pas eu la volonté de s'approprier les idées d'un autre auteur, il n'en demeure pas moins que son mémoire s'apparente pour l'essentiel à une compilation systématique des sources qu'il a consultées, desquelles il ne s'est pas réellement distancé.</w:t>
      </w:r>
    </w:p>
    <w:p>
      <w:r>
        <w:t>Contrairement à ce que prétend le recourant, ce n'est pas la première fois que ses travaux de recherches s'avèrent problématiques sous l'angle du plagiat, de sorte qu'il lui appartenait de veiller particulièrement à ce que tel ne soit pas le cas du mémoire qu'il a rendu, étant rappelé que son directeur de mémoire a attiré son attention à de multiples reprises sur cette question.</w:t>
      </w:r>
    </w:p>
    <w:p>
      <w:r>
        <w:t>Partant, c'est à juste titre que la faculté a retenu que le travail de mémoire du recourant était constitutif de plagiat. 9)</w:t>
      </w:r>
    </w:p>
    <w:p>
      <w:r>
        <w:t>Le recourant considère que l'attribution de la note de 0 à son travail de mémoire et l'obligation de rendre dans les trois mois un travail écrit supplémentaire considéré comme suffisant constitueraient une sanction violant les principes de proportionnalité et d'interdiction de l'arbitraire, ainsi que de la légalité, de l'égalité de traitement et de la bonne foi.</w:t>
      </w:r>
    </w:p>
    <w:p>
      <w:r>
        <w:t>a. Le principe de la proportionnalité exige que les mesures mises en œuvre soient propres à atteindre le but visé – règle de l'aptitude – et que celui-ci ne puisse être atteint par une mesure moins contraignante – règle de la nécessité ; il doit en outre y avoir un rapport raisonnable entre ce but et les intérêts compromis – principe de la proportionnalité au sens étroit –, impliquant une pesée des intérêts. Il commande que la mesure étatique soit nécessaire et apte à atteindre le but prévu et qu'elle soit raisonnable pour la personne concernée (ATA/49/2017 du 24 janvier 2017 consid. 5a et les références citées).</w:t>
      </w:r>
    </w:p>
    <w:p>
      <w:r>
        <w:t>b. Une décision est arbitraire au sens de l'art. 9 Cst.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(ATF 128 I 177consid. 2.1). La chambre administrative ne s'écarte de la solution retenue par l'autorité cantonale que lorsque celle-ci est</w:t>
      </w:r>
    </w:p>
    <w:p>
      <w:r>
        <w:t>- 15/17 - A/2958/2020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ATA/283/2016 du 5 avril 2016 consid. 6e). Cela étant, la chambre de céans ayant une cognition entière en fait et en droit – sous réserve de la retenue particulière déjà mentionnée qui s'impose en matière d'examens et de travaux académiques –, le grief d'arbitraire se confond avec celui de mauvaise application du droit.</w:t>
      </w:r>
    </w:p>
    <w:p>
      <w:r>
        <w:t>c. En l'espèce, il est avéré que le travail de mémoire du recourant est constitutif de plagiat, étant rappelé qu'il s'agit d'une infraction grave à l'éthique de l'université et à l'intégrité de la recherche. Ce mémoire a été sanctionné par l'attribution de la note de 0. Par ailleurs, la possibilité a été offerte au recourant de présenter dans un délai de trois mois un travail écrit supplémentaire considéré comme suffisant, ce dans le but de valider son mémoire et terminer ainsi son cursus. Il convient de relever encore qu'au cours de ses études, le recourant s'est vu reprocher d'avoir enfreint les règles en matière de plagiat à plusieurs reprises, à tout le moins pour trois des projets personnels qu'il a présentés, ce qu'il a reconnu. Il n'est en outre pas contesté que le recourant est inscrit au MAS depuis le semestre d'automne 2011 et a, par conséquent, largement dépassé le délai maximal de neuf semestres pour achever ses études, même si ce dépassement n'est pas exclusivement imputable au recourant lui-même.</w:t>
      </w:r>
    </w:p>
    <w:p>
      <w:r>
        <w:t>Dans ces circonstances et compte tenu du fait que le recourant aurait pu se voir infliger une sanction bien plus lourde, telle que l'élimination du cursus, la sanction prononcée par l'intimée, laquelle n'a pas excédé son large pouvoir d'appréciation, apparaît plutôt clémente et ne s'avère ni disproportionnée ni entachée d'arbitraire.</w:t>
      </w:r>
    </w:p>
    <w:p>
      <w:r>
        <w:t>Au surplus, il n'apparaît pas que la décision attaquée violerait les principes de la légalité, de l'égalité de traitement et de la bonne foi ; le recourant n'indique d'ailleurs nullement en quoi tel serait le cas.</w:t>
      </w:r>
    </w:p>
    <w:p>
      <w:r>
        <w:t>Compte tenu de ce qui précède, le recours sera rejeté. La décision attaquée sera confirmée et le recourant disposera d'un délai de trois mois, à compter de l'entrée en force du présent arrêt, pour rendre un travail écrit supplémentaire pouvant être considéré par l'intimée comme suffisant. 10) Malgré l'issue du litige, aucun émolument ne sera mis à la charge du recourant, qui plaide au bénéfice de l’assistance judiciaire (art. 87 al. 1 LPA). Vu ladite issue, aucune indemnité de procédure ne sera allouée (art. 87 al. 2 LPA). * * * * *</w:t>
      </w:r>
    </w:p>
    <w:p>
      <w:r>
        <w:t>- 16/17 - A/2958/2020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