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ATA/77/2016 vom 26. Januar 2016</w:t>
      </w:r>
    </w:p>
    <w:p>
      <w:r>
        <w:t>GE Cour de justice, 2016-01-26, FR</w:t>
      </w:r>
    </w:p>
    <w:p>
      <w:r>
        <w:rPr>
          <w:b/>
        </w:rPr>
        <w:t xml:space="preserve">Quelle: </w:t>
      </w:r>
      <w:r>
        <w:t>https://mcp.opencaselaw.ch/entscheid/ge_gerichte_ATA_77_2016</w:t>
      </w:r>
    </w:p>
    <w:p>
      <w:r>
        <w:t>FR: GE_GERICHTE ATA/77/2016 du 26 janvier 2016</w:t>
      </w:r>
    </w:p>
    <w:p>
      <w:r>
        <w:t>IT: GE_GERICHTE ATA/77/2016 del 26 gennaio 2016</w:t>
      </w:r>
    </w:p>
    <w:p>
      <w:pPr>
        <w:pStyle w:val="Heading2"/>
      </w:pPr>
      <w:r>
        <w:t>Erwägungen</w:t>
      </w:r>
    </w:p>
    <w:p>
      <w:r>
        <w:rPr>
          <w:b/>
        </w:rPr>
        <w:t>E. 12</w:t>
      </w:r>
    </w:p>
    <w:p>
      <w:r>
        <w:t>septembre 1985 - LPA - E 5 10). 2)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ATA/916/2015 du 8 septembre 2015 consid. 2a et jurisprudence citée).</w:t>
      </w:r>
    </w:p>
    <w:p>
      <w:r>
        <w:t>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w:t>
      </w:r>
    </w:p>
    <w:p>
      <w:r>
        <w:t>Les juridictions administratives disposent d'une grande liberté d’organiser la mise en pratique de cette disposition et peuvent donc opter pour une communication des délais de paiement par pli recommandé (ATA/916/2015 précité consid. 2b et jurisprudence citée).</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(ATA/916/2015 précité consid. 2c). En outre, selon la jurisprudence, il convient d’appliquer par analogie la notion de cas de force majeure de l’art. 16 al. 1 LPA afin d’examiner si l’intéressé a été empêché sans sa faute de verser l’avance de frais dans le délai fixé (ATA/916/2015 précité consid. 2c et la jurisprudence</w:t>
      </w:r>
    </w:p>
    <w:p>
      <w:r>
        <w:t>- 4/6 - A/2750/2015 citée). Tombent sous cette notion les événements extraordinaires et imprévisibles qui surviennent en dehors de la sphère d’activité de l’intéressé et qui s’imposent à lui de façon irrésistible (ATA/916/2015 précité consid. 2c).</w:t>
      </w:r>
    </w:p>
    <w:p>
      <w:r>
        <w:t>d.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p. 112). La gravité des conséquences d'un retard dans le paiement de l'avance sur la situation du recourant n'est pas pertinente (arrêts du Tribunal fédéral 2C_703/2009 du 21 septembre 2010 consid. 4.4.2 ; 2C_645/2008 précité consid. 2.2 ; 2C_450/2008 du 1er juillet 2008 consid. 2.3.4). 3) En l’espèce, l’avance de frais demandée par pli recommandé a été versée quatre jours après l'expiration du délai imparti. Elle était donc tardive, ce que le recourant ne conteste pas.</w:t>
      </w:r>
    </w:p>
    <w:p>
      <w:r>
        <w:t>Celui-ci ne conteste pas avoir eu en mains le courrier du TAPI du 13 octobre 2015, lequel remplissait toutes les conditions jurisprudentielles, soit la détermination claire du montant à verser, du délai imparti et des conséquences de l’inobservation de celui-ci. La confusion de dates qu’invoque le recourant ne constitue pas un cas de force majeure au sens de la jurisprudence précitée, dès lors qu’il ne s’agit pas d’un évènement extraordinaire et imprévisible qui survient en dehors de la sphère d’activité de l’intéressé et qui s’impose à lui de façon irrésistible.</w:t>
      </w:r>
    </w:p>
    <w:p>
      <w:r>
        <w:t>Dans ces circonstances, le TAPI était en droit de déclarer le recours irrecevable, vu l’absence de paiement dans le délai imparti. Manifestement mal fondé, le recours sera rejeté, sans autre instruction préalable, en application de l’art. 72 LPA. 4)</w:t>
      </w:r>
    </w:p>
    <w:p>
      <w:r>
        <w:t>Malgré l'issue du litige et conformément à sa pratique (ATA/1241/2015 du</w:t>
      </w:r>
    </w:p>
    <w:p>
      <w:r>
        <w:rPr>
          <w:b/>
        </w:rPr>
        <w:t>E. 17</w:t>
      </w:r>
    </w:p>
    <w:p>
      <w:r>
        <w:t>novembre 2015), la chambre de céans renoncera à percevoir un émolument (art. 87 al. 1 LPA). Aucune indemnité de procédure ne sera allouée (art. 87 al. 2 LPA). * * * * *</w:t>
      </w:r>
    </w:p>
    <w:p>
      <w:r>
        <w:t>- 5/6 - A/2750/2015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