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ATA/77/2008 vom 19. Februar 2008</w:t>
      </w:r>
    </w:p>
    <w:p>
      <w:r>
        <w:t>GE Cour de justice, 2008-02-19, FR</w:t>
      </w:r>
    </w:p>
    <w:p>
      <w:r>
        <w:rPr>
          <w:b/>
        </w:rPr>
        <w:t xml:space="preserve">Quelle: </w:t>
      </w:r>
      <w:r>
        <w:t>https://mcp.opencaselaw.ch/entscheid/ge_gerichte_ATA_77_2008</w:t>
      </w:r>
    </w:p>
    <w:p>
      <w:r>
        <w:t>FR: GE_GERICHTE ATA/77/2008 du 19 février 2008</w:t>
      </w:r>
    </w:p>
    <w:p>
      <w:r>
        <w:t>IT: GE_GERICHTE ATA/77/2008 del 19 febbraio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53 al. 1 de la loi sur la procédure fiscale du 4 octobre 2001 – LPFisc – D 3 17 ; art. 57 à 65 de la loi sur la procédure administrative du 12 septembre 1985 - LPA - E 5 10, applicables par renvoi de l’art. 53 al.</w:t>
      </w:r>
    </w:p>
    <w:p>
      <w:r>
        <w:rPr>
          <w:b/>
        </w:rPr>
        <w:t>E. 4</w:t>
      </w:r>
    </w:p>
    <w:p>
      <w:r>
        <w:t>Il convient donc d'examiner d'abord la question de la culpabilité des organes de la recourante.</w:t>
      </w:r>
    </w:p>
    <w:p>
      <w:r>
        <w:t>- 8/11 - A/2447/2007</w:t>
      </w:r>
    </w:p>
    <w:p>
      <w:r>
        <w:t>a.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informations qu'il sait incorrectes ou incomplètes (Arrêt du Tribunal fédéral 2A.351/2002 du 5 novembre 2002; ATA/496/2003 du 17 juin 2003).</w:t>
      </w:r>
    </w:p>
    <w:p>
      <w:r>
        <w:t>b.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w:t>
      </w:r>
    </w:p>
    <w:p>
      <w:r>
        <w:t>c. Selon la jurisprudence du Tribunal fédéral, lorsque c'est le représentant qui a porté dans la déclaration d'impôt des indications inexactes et, par ce biais, obtenu une taxation insuffisante, le contribuable doit se laisser imputer à faute cet acte dans la mesure où il aurait été en mesure de reconnaître les erreurs (Archives 57 consid. 4c, p. 223).</w:t>
      </w:r>
    </w:p>
    <w:p>
      <w:r>
        <w:t>d. Lorsqu'il s'agit d'une personne morale, celle-ci doit se laisser imputer le comportement fautif de ses organes de fait ou de droit. C'est la faute de l'organe qui détermine la culpabilité et la mesure de l'amende (J.M. RIVIER, op.cit. p. 270)</w:t>
      </w:r>
    </w:p>
    <w:p>
      <w:r>
        <w:t>L'AFC et la CCRICC ont qualifié d'intentionnelle la faute de la recourante.</w:t>
      </w:r>
    </w:p>
    <w:p>
      <w:r>
        <w:t>Tant l'AFC que la CCRICC ont retenu à cet égard qu'en vertu de la jurisprudence précitée la recourante devait se laisser imputer les actes de ses organes ou comme en l'espèce de son ancien directeur financier, expert-comptable de surcroît. L'importance et la répétition des prestations appréciables en argent fournies par la recourante à ses actionnaires ou à des proches de ceux-ci étant un facteur supplémentaire tendant à prouver le caractère intentionnel de la</w:t>
      </w:r>
    </w:p>
    <w:p>
      <w:r>
        <w:t>- 9/11 - A/2447/2007 soustraction. La contribuable avait ainsi agi avec l'intention de tromper le fisc ou pour le moins avait envisagé de le faire. La recourante quant à elle se prévalait de son ignorance en matière fiscale et des erreurs commises par son directeur.</w:t>
      </w:r>
    </w:p>
    <w:p>
      <w:r>
        <w:t>En l'espèce, les reprises effectuées par l'AFC portent sur des prestations appréciables en argent en faveur d'actionnaires ou de proches de la contribuable. Lors des pourparlers effectués avec l'AFC-CH, la recourante a reconnu la réalité de ces attributions dont le montant initial a été réduit. La solution adoptée par l'AFC qui fait l'objet du présent litige, a été calquée sur celle de l'AFC-CH. Bien que dans ses dernières écritures la recourante ait tenté de soutenir que ces prestations étaient en fait justifiées, elle a été incapable de produire des pièces à l'appui de ses dires et les a finalement admises lors de l'audience de comparution personnelle des parties.</w:t>
      </w:r>
    </w:p>
    <w:p>
      <w:r>
        <w:t>Au vu de ce qui précède, il n'y a pas de raison de s'écarter de l'analyse de l'AFC et de la CCRICC, la recourante n'ayant apporté aucun élément permettant de douter du caractère intentionnel de la soustraction. Le principe d’une amende pour soustraction intentionnelle est ainsi acquis.</w:t>
      </w:r>
    </w:p>
    <w:p>
      <w:r>
        <w:rPr>
          <w:b/>
        </w:rPr>
        <w:t>E. 5</w:t>
      </w:r>
    </w:p>
    <w:p>
      <w:r>
        <w:t>Le bien-fondé de l'amende étant admis, le tribunal de céans doit encore examiner la prescription relative et absolue de l'action pénale visant à sanctionner les infractions commises. Cette question doit être examinée d'office lorsqu'un particulier est débiteur de l'Etat (ATF 106 Ib 364; ATA/21/2005 du 18 janvier 2005).</w:t>
      </w:r>
    </w:p>
    <w:p>
      <w:r>
        <w:t>a. Les concepts de prescription et de péremption relèvent du droit de fond (Arrêt du Tribunal fédéral 2P.227/2002 du 19 juin 2003, RDAF 2002 II 89 p. 94 et les arrêts cités). La LPFisc règle ces questions depuis le 1er janvier 2002. S’agissant toutefois de questions de droit de fond, la LPFisc ne sera applicable, selon le principe de la lex mitior, que si elle prévoit des délais plus favorables que ceux prévus par l’ancien droit (art. 84 LPFisc).</w:t>
      </w:r>
    </w:p>
    <w:p>
      <w:r>
        <w:t>b. L’article 77 LPFisc stipule que l’action pénale se prescrit, en cas de soustraction d’impôt consommée, par dix ans à compter de la fin de la période fiscale pour laquelle la taxation n’a pas été effectuée (art. 77 a. 1 lit. b LPFisc). Cette prescription est interrompue par tout acte de procédure tendant à la poursuite du contribuable. Un nouveau délai commence à courir à chaque interruption ; la prescription ne peut toutefois être prolongée de plus de la moitié de sa durée initiale (art. 77 al. 2 LPFisc). La prescription absolue est donc de quinze ans s’agissant d’une soustraction d’impôt.</w:t>
      </w:r>
    </w:p>
    <w:p>
      <w:r>
        <w:t>c. Selon le droit en vigueur à l'époque des faits, à teneur de l’article 341A aLCP, la prescription des infractions visées aux articles 340 et 341 aLCP est de cinq ans, non compris l’année courante. Ce délai commence à courir dès la commission de l’infraction, soit en cas d’absence de déclaration dès la fin de la</w:t>
      </w:r>
    </w:p>
    <w:p>
      <w:r>
        <w:t>- 10/11 - A/2447/2007 période fiscale pour laquelle la taxation n’a pas été effectuée et est interrompu par tout acte tendant à la poursuite de l’infraction (ATA/642/2000 ; ATA G. du</w:t>
      </w:r>
    </w:p>
    <w:p>
      <w:r>
        <w:rPr>
          <w:b/>
        </w:rPr>
        <w:t>E. 6</w:t>
      </w:r>
    </w:p>
    <w:p>
      <w:r>
        <w:t>Le recours est admis. Une indemnité de procédure de CHF 1'000.- à la charge de l'Etat de Genève sera allouée à la recourante. Un émolument de CHF 500.- sera mis à la charge de l'administration fiscale cantonale(art. 87 LPA). Cette pratique est cohérente avec le principe de l’autonomie du Pouvoir judiciaire et la tenue de comptes distincts entre le Pouvoir exécutif d’une part et le Pouvoir judiciaire d’autre part. Il est également conforme à la LPA, laquelle ne contient pas d’ancrage à l’exonération systématique de l’Etat de Genève de tout émolument de procédure (ATA/423/2005 du 14 juin 2005).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