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ATA/777/2016 vom 13. September 2016</w:t>
      </w:r>
    </w:p>
    <w:p>
      <w:r>
        <w:t>GE Cour de justice, 2016-09-13, FR</w:t>
      </w:r>
    </w:p>
    <w:p>
      <w:r>
        <w:rPr>
          <w:b/>
        </w:rPr>
        <w:t xml:space="preserve">Quelle: </w:t>
      </w:r>
      <w:r>
        <w:t>https://mcp.opencaselaw.ch/entscheid/ge_gerichte_ATA_777_2016</w:t>
      </w:r>
    </w:p>
    <w:p>
      <w:r>
        <w:t>FR: GE_GERICHTE ATA/777/2016 du 13 septembre 2016</w:t>
      </w:r>
    </w:p>
    <w:p>
      <w:r>
        <w:t>IT: GE_GERICHTE ATA/777/2016 del 13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questions de droit matériel sont résolues en fonction du droit en vigueur lors des périodes fiscales litigieuses (arrêts du Tribunal fédéral 2C_835/2012 du 1er avril 2013 consid. 8 ; 2A.568/1998 du 31 janvier 2000 ; ATA/780/2013 du 26 novembre 2013 consid. 2 et les références citées).</w:t>
      </w:r>
    </w:p>
    <w:p>
      <w:r>
        <w:t>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1er avril 2014 consid. 3).</w:t>
      </w:r>
    </w:p>
    <w:p>
      <w:r>
        <w:t>Le 1er janvier 2010 est entrée en vigueur la loi sur l'imposition des personnes physiques du 27 septembre 2009 (LIPP - D 3 08), dont l'art. 69 a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En l'espèce, le recours concerne la période fiscale 2009. Dès lors, c'est, pour l’IFD, la loi fédérale sur l’impôt fédéral direct du 14 décembre 1990 (LIFD - RS 642.11) et, pour l’ICC, la loi sur l’imposition des personnes physiques - objet de l’impôt - assujettissement à l’impôt du 22 septembre 2000 (aLIPP- I - D 3 11) ; la loi sur l’imposition dans le temps des personnes physiques du 31 août 2000</w:t>
      </w:r>
    </w:p>
    <w:p>
      <w:r>
        <w:t>- 9/17 - A/111/2015 (aLIPP-II - D 3 12) ; la loi sur l’imposition des personnes physiques - impôt sur la fortune du 22 septembre 2000 (aLIPP-III - D 3 13), la loi sur l’imposition des personnes physiques - impôt sur le revenu (revenu imposable) du 22 septembre 2000 (aLIPP-IV - D 3 14), la loi sur l’imposition des personnes physiques - détermination du revenu net - calcul de l’impôt et rabais d’impôt - compensation des effets de la progression à froid du 22 septembre 2000 (aLIPP-V - D 3 16).</w:t>
      </w:r>
    </w:p>
    <w:p>
      <w:r>
        <w:rPr>
          <w:b/>
        </w:rPr>
        <w:t>E. 3</w:t>
      </w:r>
    </w:p>
    <w:p>
      <w:r>
        <w:t>Le recourant conteste son assujettissement illimité en Suisse pour l’année fiscale litigieuse et affirme qu’il était domicilié en France voisine durant cet exercice.</w:t>
      </w:r>
    </w:p>
    <w:p>
      <w:r>
        <w:rPr>
          <w:b/>
        </w:rPr>
        <w:t>E. 4</w:t>
      </w:r>
    </w:p>
    <w:p>
      <w:r>
        <w:t>La Suisse et la France sont liées par la Convention entre la Suisse et la France en vue d'éliminer les doubles impositions en matière d'impôts sur le revenu et sur la fortune et de prévenir la fraude et l'évasion fiscales du 9 septembre 1966 (CDI-F RS 0.672.934.91).</w:t>
      </w:r>
    </w:p>
    <w:p>
      <w:r>
        <w:t>Les conventions internationales en matière de double imposition ne contiennent que des règles visant à limiter les pouvoirs d'imposition des États mais ne fondent pas l'imposition elle-même (ATF 117 Ib 358 consid. 3 in fine et les références citées ; ATA/570/2015 du 2 juin 2015 consid. 7).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ATA/570/2015 précité consid. 7 et les arrêts cités ; Xavier OBERSON, Précis de droit fiscal international, 4ème éd., 2014, p. 49 n. 138 et 139).</w:t>
      </w:r>
    </w:p>
    <w:p>
      <w:r>
        <w:rPr>
          <w:b/>
        </w:rPr>
        <w:t>E. 5</w:t>
      </w:r>
    </w:p>
    <w:p>
      <w:r>
        <w:t>novembre 2015 consid. 6.3 ; 2C_335/2014 du 19 janvier 2015 consid. 5.1 et les arrêts, ainsi que les références cités).</w:t>
      </w:r>
    </w:p>
    <w:p>
      <w:r>
        <w:t>- 11/17 - A/111/2015</w:t>
      </w:r>
    </w:p>
    <w:p>
      <w:r>
        <w:rPr>
          <w:b/>
        </w:rPr>
        <w:t>E. 6</w:t>
      </w:r>
    </w:p>
    <w:p>
      <w:r>
        <w:t>a. En matière fiscale, il appartient à l'autorité d'établir les faits qui justifient l'assujettissement et qui augmentent la taxation (art. 123 al. 1 LIFD),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 ATA/570/2015 précité consid. 11a et les arrêts cités).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 ATA/570/2015 précité consid. 11a).</w:t>
      </w:r>
    </w:p>
    <w:p>
      <w:r>
        <w:t>b. La procédure de taxation est caractérisée par la collaboration réciproque de l'autorité fiscale et du contribuable (arrêts du Tribunal fédéral 2C_111/2012 précité consid. 4.4 ; 2A.374/2006 précité consid. 4 ; ATA/570/2015 précité consid. 11b et les arrêts cités). Savoir si un fait est ou non prouvé relève des faits, alors que la répartition du fardeau de la preuve est une question de droit (ATF 130 III 321 consid. 5 ; arrêts du Tribunal fédéral 2C_111/2012 précité consid. 4.4 ; 5A.118/2012 du 20 avril 2012 consid. 3.2).</w:t>
      </w:r>
    </w:p>
    <w:p>
      <w:r>
        <w:t>c. En cas de changement de domicile, le fardeau de la preuve de la création d’un nouveau domicile incombe au contribuable (ATF 138 II 300 consid. 3.4 ; ATA/570/2015 précité consid. 11c). Il lui est dans ce cadre nécessaire de démontrer la réalité de ce nouveau domicile, soit le déplacement du centre de ses intérêts vitaux en un autre lieu (Xavier OBERSON, op. cit., p. 76 ss n. 3), preuve qui ne peut être admise que si la personne y paie des impôts ou prouve qu’elle en est exemptée (arrêt du Tribunal 2C_484/2009 consid. 3.4= RDAF 2011 II 149)</w:t>
      </w:r>
    </w:p>
    <w:p>
      <w:r>
        <w:rPr>
          <w:b/>
        </w:rPr>
        <w:t>E. 7</w:t>
      </w:r>
    </w:p>
    <w:p>
      <w:r>
        <w:t>En l'espèce, à teneur du registre de la population de l’OCPM, depuis 1980, le recourant a alterné les périodes de séjour en Suisse et en France, en annonçant notamment quitter le canton de Genève pour prendre un domicile dans la commune française de Bassy du 1er décembre 1991 au 1er août 2002. Toutefois, dès cette dernière date, il s’est annoncé comme reprenant un domicile dans le canton de Genève, confirmant cette prise de résidence par l’enregistrement d’un changement d’adresse en janvier 2013. Dans la mesure où le recourant, non seulement habite, mais encore déploie ses activités professionnelles dans le canton et qu’il ne conteste pas y remplir et déposer, depuis 2002, une déclaration fiscale de personne physique assujettie de manière illimitée, ensuite de son inscription au rôle des contribuables (art. 24 al. 2 de la loi de procédure fiscale du 4 octobre 2001 - LPFisc - D 3 17), l’autorité intimée était en droit de retenir l’existence d’un tel assujettissement illimité, même si le recourant a mentionné Bassy comme étant son adresse, dans sa déclaration fiscale. L’AFC-GE était d’autant plus autorisée à le faire que le</w:t>
      </w:r>
    </w:p>
    <w:p>
      <w:r>
        <w:t>- 12/17 - A/111/2015 recourant ne s’est pas prévalu d’une domiciliation fiscale à l’étranger avant qu’il ne décide de saisir le TAPI et qu’au-delà de ses allégations, il n’établit aucunement la réalité d’un domicile français, notamment en prouvant comme requis par la jurisprudence, qu’en 2009 il avait payé des impôts dans ce pays.</w:t>
      </w:r>
    </w:p>
    <w:p>
      <w:r>
        <w:rPr>
          <w:b/>
        </w:rPr>
        <w:t>E. 8</w:t>
      </w:r>
    </w:p>
    <w:p>
      <w:r>
        <w:t>En matière d’IFD, à teneur de l’art. 18 al. 1 LIFD, les contribuables qui exercent une activité lucrative en la forme indépendante, sont imposables sur tous les revenus provenant de l’exploitation d’une entreprise commerciale, industrielle, artisanale, agricole ou sylvicole, de l’exercice d’une profession libérale, ou de toute autre activité lucrative indépendante.</w:t>
      </w:r>
    </w:p>
    <w:p>
      <w:r>
        <w:t>Pour les contribuables qui tiennent une comptabilité en bonne et due forme, qu’ils soient astreints ou non, le revenu imposable est calculé en appliquant les règles des arts. 58 et suivants LIFD relatives à la détermination du bénéfice imposable (art. 18 al. 3 LIFD).</w:t>
      </w:r>
    </w:p>
    <w:p>
      <w:r>
        <w:rPr>
          <w:b/>
        </w:rPr>
        <w:t>E. 9</w:t>
      </w:r>
    </w:p>
    <w:p>
      <w:r>
        <w:t>a. L’impôt sur le bénéfice a pour objet le bénéfice net, tel qu’il découle du compte de pertes et profits établi selon les règles du droit commercial (art. 57, 58, al. 1 de la loi fédérale sur l’impôt fédéral direct du 14 décembre 1990 - LIFD - RS 642.11 ; Xavier OBERSON, op. cit., p. 224).</w:t>
      </w:r>
    </w:p>
    <w:p>
      <w:r>
        <w:t>Lorsque l’entreprise tient une comptabilité en bonne et due forme, le principe de déterminance, soit d’opposabilité des comptes, est applicable, et le bénéfice déterminant correspondant au solde du compte de pertes et profits, établi en conformité avec les principes généralement admis en matière de comptabilité commerciale, sous réserve des dispositions expresses correctrice de droit fiscal (Xavier OBERSON, op. cit., p. 106 n. 35, p. 224 n. 2).</w:t>
      </w:r>
    </w:p>
    <w:p>
      <w:r>
        <w:t>Tous les prélèvements opérés sur le résultat commercial qui ne servent pas à couvrir des dépenses justifiées par l’usage commercial sont ajoutés au bénéfice imposable, telle par exemple une provision non justifiée (art. 58 al. 1 let. b LIFD).</w:t>
      </w:r>
    </w:p>
    <w:p>
      <w:r>
        <w:t>b. 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w:t>
      </w:r>
    </w:p>
    <w:p>
      <w:r>
        <w:t>Dans la mesure où une provision ne peut avoir pour objet que des pertes imminentes (art. 63 al. 1 let. c LIFD), les provisions pour des charges futures ne</w:t>
      </w:r>
    </w:p>
    <w:p>
      <w:r>
        <w:t>- 13/17 - A/111/2015 sont pas admissibles (arrêts du Tribunal fédéral 2C_478/2011 du 10 novembre 2011 consid. 2.1 ; 2C_581/2010 du 28 mars 2010 consid. 3.1). En effet, les provisions constituées en vue d'une utilisation future, notamment pour faire face à des dépenses que l'entreprise devra supporter en raison de son activité à venir, constituent des réserves. En tant que telles, elles font partie du revenu imposable et ne sauraient être déduites de ce dernier avant que la société n'ait à supporter les charges en cause, conformément au principe de périodicité du droit fiscal (arrêt du Tribunal fédéral 2C_581/2010 du 28 mars 2011 consid. 3.1 et les arrêts cités). Le droit fiscal n'admet ainsi pas la diminution artificielle du bénéfice par le biais de provisions injustifiées (arrêt du Tribunal fédéral 2C_1101/2014 du 23 novembre 2015 consid. 3).</w:t>
      </w:r>
    </w:p>
    <w:p>
      <w:r>
        <w:t>c. Selon la jurisprudence constante de la chambre administrative, deux conditions doivent être réunies pour que des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(ATA/176/2016 du 23 février 2016 consid, 4c ; ATA/1238/2015 du 17 novembre 2015 consid. 3d ; ATA/520/2014 du 1er juillet 2014 et les références citées).</w:t>
      </w:r>
    </w:p>
    <w:p>
      <w:r>
        <w:t>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(Danielle YERSIN/Yves NOËL [éd.], Commentaire romand - Impôt fédéral direct, 2008, n. 19 ad art. 63 LIFD).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 Une provision pour litiges, en soi admissible (Markus REICH/Marina ZÜGER, in : Martin ZWEIFEL/ Peter ATHANAS [éd.], Kommentar zum Schweizerischen Steuerrecht, I/2a - Bundesgesetz über die direkte Bundessteuer [DBG], Art. 1-82, 2ème éd., 2008, n. 18 ad art. 29 LIFD ; Peter LOCHER, Kommentar zum DBG, vol. I, 2001, n. 13 ad art. 29 LIFD), concerne les risques liés à une prétention découlant d'une action judiciaire en cours (Robert DANON, in Danielle YERSIN/Yves NOËL [éd.], op. cit., n. 19 ad art. 63 LIFD). L'action judiciaire doit ainsi être entamée lors de la période fiscale en cause (ATA/829/2013 du 17 décembre 2013 consid. 5a).</w:t>
      </w:r>
    </w:p>
    <w:p>
      <w:r>
        <w:t>- 14/17 - A/111/2015</w:t>
      </w:r>
    </w:p>
    <w:p>
      <w:r>
        <w:rPr>
          <w:b/>
        </w:rPr>
        <w:t>E. 10</w:t>
      </w:r>
    </w:p>
    <w:p>
      <w:r>
        <w:t>Lorsque des provisions, qui ont été passées en charge du compte de résultat, ne sont pas admissibles, l’autorité fiscale est en droit de procéder à la dissolution de la provision (arrêt du Tribunal fédéral 2C_581/2010 du 28 mars 2011 consid. 3.1). Une telle dissolution est susceptible d’intervenir dès qu’elle n’est plus justifiée commercialement, engendrant une correction en défaveur du contribuable (Danielle YERSIN/Yves NOËL [éd.], op. cit., n. 41 et 67 ad art. 58 LIFD).</w:t>
      </w:r>
    </w:p>
    <w:p>
      <w:r>
        <w:rPr>
          <w:b/>
        </w:rPr>
        <w:t>E. 11</w:t>
      </w:r>
    </w:p>
    <w:p>
      <w:r>
        <w:t>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1er octobre 2008 consid 4.4 ; ATA/761/2013 du 12 novembre 2013). Le montant et la justification commerciale des provisions étant de nature à diminuer la dette fiscale, c'est au contribuable d'en apporter la preuve (arrêt du Tribunal fédéral 2A.71/2006 du 21 juin 2006 consid. 3.3.3 ; arrêt du Tribunal administratif de Bâle-Ville 510 09 13 du 3 juillet 2009 consid. 4c).</w:t>
      </w:r>
    </w:p>
    <w:p>
      <w:r>
        <w:rPr>
          <w:b/>
        </w:rPr>
        <w:t>E. 12</w:t>
      </w:r>
    </w:p>
    <w:p>
      <w:r>
        <w:t>En l’occurrence, le recourant, liquidateur de la SI, a effectué en 2003 le bouclement des comptes de liquidation de cette société, les transmettant à la division de l’IA de l’AFC-CH dans le cadre des obligations fiscales qui lui incombaient. Le bilan de liquidation laissait apparaître un excédent de CHF 6'513'265.49.</w:t>
      </w:r>
    </w:p>
    <w:p>
      <w:r>
        <w:t>Ainsi que le Tribunal fédéral l’a rappelé dans son arrêt du 13 avril 2010 (2C_551/2009), l’excédent de liquidation comprend toutes les prestations faites par une société dissoute aux actionnaires qui ne constituent pas un remboursement de capital et qui peuvent être qualifiées de prestations en argent (consid. 2. 2). De telles prestations sont soumises à la perception de l’impôt anticipé de 35 % en vertu des art. 1 al. 1 et 4 al. 1 let. b de la loi fédérale du 13 octobre 1965 sur l’impôt anticipé (RS 642.211 LIA), 20 al. 1 de l’ordonnance du 19 décembre 1966 sur l’impôt anticipé (RS 642.211 - OIA), ainsi que 13 al. 1 let. a LIA pour le taux (consid : 2.1). En vertu de l’art. 12 al. 1 LIA, la créance d’impôt anticipé prend naissance au moment où échoit la créance fiscale (consid 2. 3). Dans le cadre d’une société en liquidation, cette date correspond à celle où le versement de l’excédent est exécutable (consid 2. 3), soit en l’espèce au plus tôt le 1er janvier 2003 (consid. 2.4). Selon le Tribunal fédéral, en 2010, cette créance n’était pas prescrite (consid. 2. 4).</w:t>
      </w:r>
    </w:p>
    <w:p>
      <w:r>
        <w:t>De même, ainsi que le Tribunal fédéral l’a également rappelé, en matière d’impôt anticipé, l’obligation fiscale incombe au débiteur de la prestation imposable (art. 10 al. 1 LIA) étant exécutée soit par le paiement de l’impôt soit par la déclaration de la prestation imposable (art. 11 al. 1 LIA), cette dernière procédure étend réglée par les art. 21 LIA a et 24 OIA (consid 3.1 et 3.2). Lorsque l’obligation</w:t>
      </w:r>
    </w:p>
    <w:p>
      <w:r>
        <w:t>- 15/17 - A/111/2015 fiscale ne peut être exécutée par la procédure de déclaration, le contribuable doit, en versant, virant, créditant ou imputant la prestation imposable, en déduire le montant de l’impôt anticipé tout en donnant les indications aux bénéficiaires de la prestation imposable, lui permettant de faire valoir le droit au remboursement de cet impôt s’il remplit les conditions (consid 3. 1).</w:t>
      </w:r>
    </w:p>
    <w:p>
      <w:r>
        <w:t>S’agissant de la responsabilité du liquidateur, le Tribunal fédéral a également rappelé dans l’arrêt précité qu’en vertu de l’art. 15 LIA, les personnes chargées de la liquidation d’une personne morale sont responsables solidairement avec le contribuable pour l’IA, jusqu’à concurrence du produit de la liquidation, répondant aux créances d’impôt qui prennent naissance pendant leur gestion. Le liquidateur a les mêmes droits et devoirs que le contribuable, et notamment celui de renseigner l’AFC-CH, surtout sur les faits pouvant avoir de l’importance pour déterminer l’assujettissement ou les bases de calcul de l’impôt. Cette responsabilité solidaire du liquidateur résulte directement de la loi, selon la jurisprudence citée (consid. 4. 1), celle-ci étant toutefois subsidiaire, le liquidateur pouvant se libérer s’il a rempli ses devoirs consciencieusement et fait tout ce qu’on pouvait raisonnablement exiger de lui pour la garantie et le paiement de la créance fiscale (consid 4. 1).</w:t>
      </w:r>
    </w:p>
    <w:p>
      <w:r>
        <w:t>Selon le Tribunal fédéral, c’était pendant l’exercice du mandat de liquidateur de la SI du recourant que la créance d’impôt anticipé sur l’excédent de liquidation avait pris naissance. Or, celui-ci n’a pas rempli ses devoirs consciencieusement ni fait tout ce qu’on pouvait exiger de lui pour garantir le paiement de la créance fiscale. En effet, en tant que liquidateur de la SI, il devait fournir à l’AFC-CH des informations sur l’identité du ou des tiers actionnaires au nom desquels la F______ avait cédé le capital action de la SI. Il devait s’assurer de l’identité de cet actionnaire, ou à tout le moins, demander des sûretés nécessaires au paiement de l’IA dû sur l’excédent de liquidation déclaré. Ne l’ayant pas fait, il restait solidaire du paiement de la créance (consid 4. 2).</w:t>
      </w:r>
    </w:p>
    <w:p>
      <w:r>
        <w:rPr>
          <w:b/>
        </w:rPr>
        <w:t>E. 13</w:t>
      </w:r>
    </w:p>
    <w:p>
      <w:r>
        <w:t>Ces circonstances, retenues par le Tribunal fédéral, ne sont pas sans effet sur la situation fiscale propre au recourant. Celui-ci exerçait son mandat de liquidateur dans le cadre de son activité lucrative indépendante. Étant un professionnel dans le domaine de la finance et de la comptabilité, il ne pouvait ignorer les obligations de solidarité du liquidateur, s’agissant du paiement de l’impôt anticipé sur les excédents de liquidation. Ces obligations lui avaient d’ailleurs été rappelées par l’AFC-GE les 24 octobre 2003, 31 mars et 19 mai 2004. Dans la mesure où le recourant ne s’est jamais trouvé, pour des raisons qu’il n’a pas explicitées, dans la possibilité de fournir à l’AFC-CH, les renseignements lui permettant de s’exempter de sa responsabilité solidaire pour le paiement de la créance d’impôt anticipé, le risque qu’il doive s’acquitter dudit impôt était réel, à tout le moins dès l’exercice 2004. Le recourant n’était par ailleurs pas en droit d’opter de différer jusqu’en 2009 la comptabilisation de la provision commerciale destinée à couvrir ce risque. Dans</w:t>
      </w:r>
    </w:p>
    <w:p>
      <w:r>
        <w:t>- 16/17 - A/111/2015 la mesure où celui-ci ne peut être relié avec l’exercice comptable 2009, mais concerne des exercices précédents, l’autorité intimée était en droit, par application du principe de déterminance, de refuser l’écriture comptable figurant pour la première fois au passif du bilan 2009 de l’entreprise du recourant et comptabilisée pour le même montant au titre de charge dans le compte de profits et pertes de cet exercice, et dès lors de rectifier les résultats de cette période, en retenant, pour la taxation de l’IFD 2009 un résultat bénéficiaire plutôt que déficitaire.</w:t>
      </w:r>
    </w:p>
    <w:p>
      <w:r>
        <w:rPr>
          <w:b/>
        </w:rPr>
        <w:t>E. 14</w:t>
      </w:r>
    </w:p>
    <w:p>
      <w:r>
        <w:t>En matière d’ICC, on retrouve des dispositions similaires aux dispositions précitées de la LIFD. Les art. 7 al. 1 de la loi fédérale sur l’harmonisation des impôts directs des cantons et des communes du 14 décembre 1990 (LHID - RS 642.14 et 3 al. 1 aLIPP-IV constituent le pendant de l’art. 18 al. 1 LIFD). En outre, l’art. 3 al. 4 aLIPP-IV reprend la règle énoncée à l’art. 18 al. 3 LIFD. Ainsi, la détermination du bénéfice d’une entreprise s’effectue, pour les personnes physiques exerçant une activité indépendante soumise à comptabilité, conformément aux règles s’appliquant aux personnes morales soit à celles prévues aux art. 11 et ss de la loi sur l’imposition des personnes morales du 23 septembre 1994 (LIPM - D 3 15).</w:t>
      </w:r>
    </w:p>
    <w:p>
      <w:r>
        <w:t>Dans ce cadre, l’art. 12 let. e LIPM, de contenu similaire à celui de l’art. 58 al. 1 let. b LIFD doit être interprété, pour régler la question de l’admissibilité de telles provisions sur le plan fiscal, d’une manière identique et selon les mêmes principes que ceux prévalant en matière d’IFD exposés ci-dessus. Il en découle que la comptabilisation d’une provision de CHF 2'279'642.90 en 2009 est tout aussi peu admissible dans le cadre de l’imposition cantonale et que les résultats de l’entreprise individuelle du recourant doivent être également corrigés à la hausse d’une manière similaire à celle appliquée en matière d’IFD, ainsi que l’a justement retenu le TAPI.</w:t>
      </w:r>
    </w:p>
    <w:p>
      <w:r>
        <w:t>Le recours sera rejeté</w:t>
      </w:r>
    </w:p>
    <w:p>
      <w:r>
        <w:rPr>
          <w:b/>
        </w:rPr>
        <w:t>E. 15</w:t>
      </w:r>
    </w:p>
    <w:p>
      <w:r>
        <w:t>Vu l’issue du litige, un émolument de CHF 2'000.- sera mis à la charge du recourant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