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ATA/777/2011 vom 20. Dezember 2011</w:t>
      </w:r>
    </w:p>
    <w:p>
      <w:r>
        <w:t>GE Cour de justice, 2011-12-20, FR</w:t>
      </w:r>
    </w:p>
    <w:p>
      <w:r>
        <w:rPr>
          <w:b/>
        </w:rPr>
        <w:t xml:space="preserve">Quelle: </w:t>
      </w:r>
      <w:r>
        <w:t>https://mcp.opencaselaw.ch/entscheid/ge_gerichte_ATA_777_2011</w:t>
      </w:r>
    </w:p>
    <w:p>
      <w:r>
        <w:t>FR: GE_GERICHTE ATA/777/2011 du 20 décembre 2011</w:t>
      </w:r>
    </w:p>
    <w:p>
      <w:r>
        <w:t>IT: GE_GERICHTE ATA/777/2011 del 20 dicembre 2011</w:t>
      </w:r>
    </w:p>
    <w:p>
      <w:pPr>
        <w:pStyle w:val="Heading2"/>
      </w:pPr>
      <w:r>
        <w:t>Regeste</w:t>
      </w:r>
    </w:p>
    <w:p>
      <w:r>
        <w:t>Résumé: Diminution d'une amende infligée au recourant dès lors qu'une des fautes reprochées, soit le fait d'avoir engendré des inconvénients graves pour le voisinage, n'est pas avérée, le bruit n'étant pas le motif de l'intervention de la police. Pour le surplus, le recourant n'apporte pas la preuve de ses allégués, lesquels contredisent le contenu du rapport de police.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Selon l’art. 21 al. 2 LRDBH, en cas d’absence de l’établissement, l’exploitant doit désigner un remplaçant compétent et instruit de ses devoirs, qui assume la responsabilité de l’exploitation. L’art. 32 al. 1 RRDBH précise que le remplaçant doit être en mesure de le remplacer immédiatement lors de toute absence, même fortuite, de sa part.</w:t>
      </w:r>
    </w:p>
    <w:p>
      <w:r>
        <w:t>b. L’art. 22 al. 2 LRDBH stipule que l’exploitant doit veiller au maintien de l’ordre d’un établissement de manière à ne pas engendrer d’inconvénients graves pour le voisinage. L’al. 3 dudit article précise que si l’ordre est sérieusement troublé ou menace de l’être, que ce soit à l’intérieur de l’établissement ou dans ses environs immédiats, l’exploitant doit faire appel à la police.</w:t>
      </w:r>
    </w:p>
    <w:p>
      <w:r>
        <w:t>c. L’exploitant est tenu de respecter les heures de fermeture propres à la catégorie à laquelle appartient son établissement (art. 23 LRDBH). En particulier, les cafés-restaurants peuvent être ouverts de 4h00 à 24h00 sous réserve d’une autorisation de prolongation (art. 18 let. a LRDBH).</w:t>
      </w:r>
    </w:p>
    <w:p>
      <w:r>
        <w:t>d. En vertu de l’art. 25 LRDBH, l’exploitant doit être en mesure de fournir au département et aux services de la police tous les renseignements relatifs à l’identité, au domicile, aux dates de début et de fin d’engagement et au rôle effectif de toute personne participant à l’exploitation ou à l’animation de l’établissement, en tout temps.</w:t>
      </w:r>
    </w:p>
    <w:p>
      <w:r>
        <w:t>Les exploitants de cafés-restaurants doivent avoir un registre du personnel constamment tenu à jour et mentionnant l’identité, le domicile, les dates de début et de fin d’engagement ainsi que le rôle effectif de toute personne participant à l’exploitation ou à l’animation de l’établissement, conformément à l’art. 35 RRDBH.</w:t>
      </w:r>
    </w:p>
    <w:p>
      <w:r>
        <w:rPr>
          <w:b/>
        </w:rPr>
        <w:t>E. 3</w:t>
      </w:r>
    </w:p>
    <w:p>
      <w:r>
        <w:t>En l’occurrence, il ressort des rapports de police que M. K______ était le remplaçant du recourant lors des deux interventions de la police au café-restaurant « A______ ». A chacune de celles-ci, il a été constaté que l’employé concerné était en état d’ébriété sur son lieu de travail.</w:t>
      </w:r>
    </w:p>
    <w:p>
      <w:r>
        <w:t>Le soir du 7 novembre 2010, M. K______ était également inapte à renseigner correctement la police. Il était incapable de présenter le livre du personnel. Par son comportement, l’employé a démontré ne pas être compétent, ni instruit de ses devoirs. A cet égard, le seul fait qu’il disposerait d’un diplôme</w:t>
      </w:r>
    </w:p>
    <w:p>
      <w:r>
        <w:t>- 5/7 - A/1717/2011 d’une école hôtelière - dont la preuve n’a pas été apportée - ne saurait être suffisant, ni pertinent.</w:t>
      </w:r>
    </w:p>
    <w:p>
      <w:r>
        <w:t>A cela s’ajoute que cinq clients consommaient encore des boissons dans l’établissement alors que l’horaire autorisé était dépassé de vingt-cinq minutes. Les assertions non documentées consistant à prétendre qu’il était en réalité 1h55 et que personne n’était présent hormis deux employés ne peuvent, à elles seules, remettre en cause les faits constatés par la police.</w:t>
      </w:r>
    </w:p>
    <w:p>
      <w:r>
        <w:t>Aucun témoignage confirmant la version du recourant au sujet de l’attitude de M. K______ le 29 août 2010 n’est davantage apporté. Dès lors, il convient également sur ce point de s’en tenir au contenu de la dénonciation à la LRDBH.</w:t>
      </w:r>
    </w:p>
    <w:p>
      <w:r>
        <w:t>Il n’apparaît pas que le bruit soit le motif de l’intervention de la police du 29 août 2010. L’absence d’indication quant à la manière dont a été informée la CECAL ne permet pas d’infirmer que ce soit effectivement M. K______ qui l’ait contactée. En outre, aucun voisin ne s’est plaint des incidents survenus à cette date, ni des nuisances engendrées par l’exploitation de l’établissement de manière générale.</w:t>
      </w:r>
    </w:p>
    <w:p>
      <w:r>
        <w:rPr>
          <w:b/>
        </w:rPr>
        <w:t>E. 4</w:t>
      </w:r>
    </w:p>
    <w:p>
      <w:r>
        <w:t>a. Est passible d’une amende administrative allant de CHF 100.- à CHF 60’000.- tout contrevenant à la LRDBH (art. 74 al. 1).</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 MOOR, Droit administratif : les actes administratifs et leur contrôle, vol. 2, Berne 2002, ch. 1.4.5.5, p. 139 ss).</w:t>
      </w:r>
    </w:p>
    <w:p>
      <w:r>
        <w:t>c. L’amende doit respecter le principe de la proportionnalité (art. 36 al. 3 Cst. ; ATA/234/2006 du 2 mai 2006).</w:t>
      </w:r>
    </w:p>
    <w:p>
      <w:r>
        <w:t>Le département jouit d’un large pouvoir d’appréciation pour en fixer le montant. La juridiction de céans ne la censure qu’en cas d’excès. Sont prises en considération la nature, la gravité et la fréquence des infractions commises dans le respect du principe de proportionnalité (ATA/26/2011 du 18 janvier 2011).</w:t>
      </w:r>
    </w:p>
    <w:p>
      <w:r>
        <w:rPr>
          <w:b/>
        </w:rPr>
        <w:t>E. 5</w:t>
      </w:r>
    </w:p>
    <w:p>
      <w:r>
        <w:t>En l’espèce, le SCom a infligé au recourant une amende d’un montant de CHF 900.-.</w:t>
      </w:r>
    </w:p>
    <w:p>
      <w:r>
        <w:t>Tous les reproches formés par l’autorité à l’encontre du recourant sont avérés à l’exception d’un seul, à savoir le fait d’avoir engendré des inconvénients</w:t>
      </w:r>
    </w:p>
    <w:p>
      <w:r>
        <w:t>- 6/7 - A/1717/2011 graves pour le voisinage. Il n’en demeure pas moins que le recourant cumule plusieurs fautes, apparaissant d’une certaine gravité.</w:t>
      </w:r>
    </w:p>
    <w:p>
      <w:r>
        <w:t>Dans ces conditions et vu la jurisprudence de la chambre de céans en la matière (notamment ATA/157/2011 du 8 mars 2011 ; ATA/405/2007 du 28 août 2007 ; ATA/453/2006 du 31 août 2006 ; ATA/344/2006 du 20 juin 2006 ; ATA/34/2005 du 25 janvier 2005), le montant de l’amende sera réduit à CHF 700.-, somme proportionnée aux fautes commises par le recourant.</w:t>
      </w:r>
    </w:p>
    <w:p>
      <w:r>
        <w:rPr>
          <w:b/>
        </w:rPr>
        <w:t>E. 6</w:t>
      </w:r>
    </w:p>
    <w:p>
      <w:r>
        <w:t>Au vu de ce qui précède le recours sera partiellement admis.</w:t>
      </w:r>
    </w:p>
    <w:p>
      <w:r>
        <w:rPr>
          <w:b/>
        </w:rPr>
        <w:t>E. 7</w:t>
      </w:r>
    </w:p>
    <w:p>
      <w:r>
        <w:t>Vu l’issue du litige, un émolument de CHF 500.- sera mis à la charge du recourant. Aucun émolument ne sera infligé au Scom en raison de la nouvelle teneur de l’art. 87 al. l LPA en vigueur depuis le 27 septembre 2011. Aucune indemnité de procédure ne sera allouée au recourant, qui n’y a pas conclu et n’a pas allégué avoir exposé de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