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ATA/775/2018 vom 24. Juli 2018</w:t>
      </w:r>
    </w:p>
    <w:p>
      <w:r>
        <w:t>GE Cour de justice, 2018-07-24, FR</w:t>
      </w:r>
    </w:p>
    <w:p>
      <w:r>
        <w:rPr>
          <w:b/>
        </w:rPr>
        <w:t xml:space="preserve">Quelle: </w:t>
      </w:r>
      <w:r>
        <w:t>https://mcp.opencaselaw.ch/entscheid/ge_gerichte_ATA_775_2018</w:t>
      </w:r>
    </w:p>
    <w:p>
      <w:r>
        <w:t>FR: GE_GERICHTE ATA/775/2018 du 24 juillet 2018</w:t>
      </w:r>
    </w:p>
    <w:p>
      <w:r>
        <w:t>IT: GE_GERICHTE ATA/775/2018 del 24 luglio 2018</w:t>
      </w:r>
    </w:p>
    <w:p>
      <w:pPr>
        <w:pStyle w:val="Heading2"/>
      </w:pPr>
      <w:r>
        <w:t>Regeste</w:t>
      </w:r>
    </w:p>
    <w:p>
      <w:r>
        <w:t>Résumé: Recours d'un ressortissant marocain contre la décision de l'OCPM lui refusant le renouvellement de son autorisation de séjour suite à son divorce avec une ressortissante française titulaire d'une autorisation d'établissement. La situation du recourant ne constitue pas des raisons personnelles majeures au sens de l'art. 50 al. 1 let. b LEtr. Recours rejeté.</w:t>
      </w:r>
    </w:p>
    <w:p>
      <w:pPr>
        <w:pStyle w:val="Heading2"/>
      </w:pPr>
      <w:r>
        <w:t>Erwägungen</w:t>
      </w:r>
    </w:p>
    <w:p>
      <w:r>
        <w:rPr>
          <w:b/>
        </w:rPr>
        <w:t>E. 12</w:t>
      </w:r>
    </w:p>
    <w:p>
      <w:r>
        <w:t>septembre 1985 - LPA - E 5 10). 2)</w:t>
      </w:r>
    </w:p>
    <w:p>
      <w:r>
        <w:t>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du Maroc. 3) 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- 5/10 - A/3419/2017</w:t>
      </w:r>
    </w:p>
    <w:p>
      <w:r>
        <w:t>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ATA/15/2018 du 9 janvier 2018 et les références citées).</w:t>
      </w:r>
    </w:p>
    <w:p>
      <w:r>
        <w:t>Il n’est pas nécessaire d’examiner la condition de la réussite de l’intégration lorsque l’union conjugale a duré moins de trois ans, les deux conditions étant cumulatives (ATF 136 II 113 consid. 3.3.3 ; arrêts du Tribunal fédéral 2C_352/2014 du 18 mars 2015 consid. 4 ; 2C_220/2014 du 4 juillet 2014 consid. 2.2 ; ATA/15/2018 précité).</w:t>
      </w:r>
    </w:p>
    <w:p>
      <w:r>
        <w:t>b. En l’espèce, le recourant a épousé Mme B______ en mai 2014. Ce mariage, dissous le 24 juin 2015, a duré moins de trois ans. Dès lors, le recourant ne peut obtenir un permis de séjour en application des dispositions précitées, sans que la qualité de son intégration n’ait à être prise en compte. 4) a. Outre les hypothèses retenues à l’art. 50 al. 1 let. a LEtr, le droit au renouvellement de l'autorisation de séjour existe également si la poursuite du séjour en Suisse s'impose pour des raisons personnelles majeures (art. 50 al. 1 let. b LEtr).</w:t>
      </w:r>
    </w:p>
    <w:p>
      <w:r>
        <w:t>L’art. 50 al. 1 let. b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w:t>
      </w:r>
    </w:p>
    <w:p>
      <w:r>
        <w:t>- 6/10 - A/3419/2017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II 1 consid. 4.1 ; 137 II 345 consid. 3.2.1 à 3.2.3 ; ATA/443/2018 du 8 mai 2018).</w:t>
      </w:r>
    </w:p>
    <w:p>
      <w:r>
        <w:t>c.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ATA/443/2018 précité).</w:t>
      </w:r>
    </w:p>
    <w:p>
      <w:r>
        <w:t>d.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du 11 novembre 2014).</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 du Tribunal fédéral 2C_1188/2012 du 17 avril 2013 consid. 4.1).</w:t>
      </w:r>
    </w:p>
    <w:p>
      <w:r>
        <w:t>À elles seules, la longue durée du séjour (principalement en tant que requérant d’asile et par dissimulation d’une union conjugale achevée) et</w:t>
      </w:r>
    </w:p>
    <w:p>
      <w:r>
        <w:t>- 7/10 - A/3419/2017 l’intégration (travail régulier, absence de condamnations et de dépendance à l’aide sociale) ne suffisent pas à rendre la poursuite du séjour imposable au sens de l’art. 50 al. 1 let. b LEtr (ATA/443/2018 précité et les références citées). 5) a. En l'espèce, le recourant a démontré avoir trouvé sa place sur le marché du travail, dans l’hôtellerie, et être indépendant financièrement. Son intégration ne remplit toutefois pas les exigences strictes de la jurisprudence. D’une part, son ascension professionnelle ne peut être qualifiée de remarquable, la profession de chef de rang n’atteignant en outre pas un niveau de qualification exceptionnelle. D’autre part, ses compétences professionnelles ne sont pas si spécifiques qu’il ne pourrait pas les utiliser au Maroc, pays dans lequel il a par ailleurs déjà envisagé de travailler dans son domaine d’activité professionnelle.</w:t>
      </w:r>
    </w:p>
    <w:p>
      <w:r>
        <w:t>b. Le recourant ne remplit pas non plus la condition du respect de l’ordre juridique suisse, ayant fait l’objet d’une condamnation pénale il y a moins de deux ans, pour des pour lésions corporelles simples, menaces et injure à l’encontre de celle qui fut son épouse.</w:t>
      </w:r>
    </w:p>
    <w:p>
      <w:r>
        <w:t>c. S’agissant de sa situation financière, il ressort du dossier qu’il a bénéficié de prestations de l’aide sociale, même s’il est actuellement indépendant de ce point de vue. Cette condition n’est dès lors pas non plus remplie.</w:t>
      </w:r>
    </w:p>
    <w:p>
      <w:r>
        <w:t>d. Le recourant est en Suisse depuis maintenant cinq ans environ, alors qu’il a passé les vingt-huit premières années de sa vie dans son pays d’origine.</w:t>
      </w:r>
    </w:p>
    <w:p>
      <w:r>
        <w:t>Cette durée ne peut pas être qualifiée de longue, au sens de la disposition et des principes rappelés ci-dessus.</w:t>
      </w:r>
    </w:p>
    <w:p>
      <w:r>
        <w:t>e. L’intéressé n’indique de plus pas en quoi sa réintégration dans son pays d’origine présenterait des problème ou des difficultés particulières.</w:t>
      </w:r>
    </w:p>
    <w:p>
      <w:r>
        <w:t>f. Le recourant n’a jamais fait état de problèmes de santé.</w:t>
      </w:r>
    </w:p>
    <w:p>
      <w:r>
        <w:t>g. Au vu de ce qui précède, le recourant ne peut se prévaloir d’un droit au renouvellement de son autorisation de séjour en application de l’art. 50 al. 1 let. b LEtr, les conditions qui permettraient de retenir des raisons personnelles majeures ou des motifs personnels graves au sens de la jurisprudence n’étant pas remplies. 6)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de celui-ci est possible, licite ou peut être raisonnablement exigée (art. 83 al. 1 LEtr).</w:t>
      </w:r>
    </w:p>
    <w:p>
      <w:r>
        <w:t>- 8/10 - A/3419/2017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c. En l’espèce, le recourant ne fait valoir aucun motif permettant de penser que l’exécution de son renvoi serait impossible, illicite ou inexigible et le dossier ne laisse pas apparaître d’éléments qui tendraient à démontrer le contraire.</w:t>
      </w:r>
    </w:p>
    <w:p>
      <w:r>
        <w:t>C’est ainsi à bon droit que le renvoi des recourants a été prononcé et l’exécution de celui-ci ordonnée. 7)</w:t>
      </w:r>
    </w:p>
    <w:p>
      <w:r>
        <w:t>Dans ces circonstances, la décision de l’OCPM et le jugement du TAPI sont conformes au droit et le recours, entièrement mal fondé, sera rejeté. 8)</w:t>
      </w:r>
    </w:p>
    <w:p>
      <w:r>
        <w:t>Vu l’issue du litige, un émolument de CHF 400.- sera mis à la charge du recourant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