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ATA/774/2011 vom 20. Dezember 2011</w:t>
      </w:r>
    </w:p>
    <w:p>
      <w:r>
        <w:t>GE Cour de justice, 2011-12-20, FR</w:t>
      </w:r>
    </w:p>
    <w:p>
      <w:r>
        <w:rPr>
          <w:b/>
        </w:rPr>
        <w:t xml:space="preserve">Quelle: </w:t>
      </w:r>
      <w:r>
        <w:t>https://mcp.opencaselaw.ch/entscheid/ge_gerichte_ATA_774_2011</w:t>
      </w:r>
    </w:p>
    <w:p>
      <w:r>
        <w:t>FR: GE_GERICHTE ATA/774/2011 du 20 décembre 2011</w:t>
      </w:r>
    </w:p>
    <w:p>
      <w:r>
        <w:t>IT: GE_GERICHTE ATA/774/2011 del 20 dicembre 2011</w:t>
      </w:r>
    </w:p>
    <w:p>
      <w:pPr>
        <w:pStyle w:val="Heading2"/>
      </w:pPr>
      <w:r>
        <w:t>Regeste</w:t>
      </w:r>
    </w:p>
    <w:p>
      <w:r>
        <w:t>Résumé: En cas de garde alternée d'égale importance, le parent pouvant bénéficier des déductions sur le revenu et du barème d'imposition réduit est celui ayant le revenu le plus élevé. Conformément aux règles sur la répartition du fardeau de la preuve en matière fiscale, il incombait à la contribuable de produire les pièces prouvant les faits qu'elle contestait et non à l'administration fiscale de prouver que celle-là ne percevait pas le revenu le plus élevé.</w:t>
      </w:r>
    </w:p>
    <w:p>
      <w:pPr>
        <w:pStyle w:val="Heading2"/>
      </w:pPr>
      <w:r>
        <w:t>Erwägungen</w:t>
      </w:r>
    </w:p>
    <w:p>
      <w:r>
        <w:rPr>
          <w:b/>
        </w:rPr>
        <w:t>E. 7</w:t>
      </w:r>
    </w:p>
    <w:p>
      <w:r>
        <w:t>Vu l’issue du litige, aucun émolument ne sera mis à la charge de l’intimée, laquelle s’en est rapportée à justice.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