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ATA/773/2016 vom 13. September 2016</w:t>
      </w:r>
    </w:p>
    <w:p>
      <w:r>
        <w:t>GE Cour de justice, 2016-09-13, FR</w:t>
      </w:r>
    </w:p>
    <w:p>
      <w:r>
        <w:rPr>
          <w:b/>
        </w:rPr>
        <w:t xml:space="preserve">Quelle: </w:t>
      </w:r>
      <w:r>
        <w:t>https://mcp.opencaselaw.ch/entscheid/ge_gerichte_ATA_773_2016</w:t>
      </w:r>
    </w:p>
    <w:p>
      <w:r>
        <w:t>FR: GE_GERICHTE ATA/773/2016 du 13 septembre 2016</w:t>
      </w:r>
    </w:p>
    <w:p>
      <w:r>
        <w:t>IT: GE_GERICHTE ATA/773/2016 del 13 settembre 2016</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w:t>
      </w:r>
    </w:p>
    <w:p>
      <w:r>
        <w:rPr>
          <w:b/>
        </w:rPr>
        <w:t>E. 2</w:t>
      </w:r>
    </w:p>
    <w:p>
      <w:r>
        <w:t>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w:t>
      </w:r>
    </w:p>
    <w:p>
      <w:r>
        <w:t>- 4/6 - A/2572/2016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Il résulte des al. 2 et 3 de l’art. 132 LOJ que la compétence de la chambre administrative dépend de la qualification juridique de l’acte porté devant elle. Ce dernier doit notamment avoir son fondement en droit public, sous réserve du cas particulier de l’art. 4A LPA (ATA/710/2016 du 23 août 2016 consid. 2 ; ATA/1367/2015 du 21 décembre 2015 consid. 2 ; ATA/225/2014 du 8 avril 2014 consid. 2).</w:t>
      </w:r>
    </w:p>
    <w:p>
      <w:r>
        <w:rPr>
          <w:b/>
        </w:rPr>
        <w:t>E. 3</w:t>
      </w:r>
    </w:p>
    <w:p>
      <w:r>
        <w:t>En l’espèce, s’il est exact que les décisions prises en première instance par la DGES II ou par le conseil de discipline, notamment, peuvent faire l’objet d’un recours auprès de la chambre administrative, en application de l’art. 34E al. 4 de l’ancien règlement de l’enseignement secondaire du 14 octobre 1998 (aRES - C 1 10.24) en vigueur jusqu’au 28 août 2016, il n’en demeure pas moins que la mesure présentement contestée, à savoir l’interdiction de périmètre du 13 juillet 2016, n’est pas prévue par la législation scolaire, ni par aucune autre norme de droit public fédéral, cantonal ou communal. En effet, les mesures, en particulier d’exclusion des cours ou de l’école, prévues par les art. 49 de la loi sur l’instruction publique du 6 novembre 1940 (LIP - C 1 10) et 34A al. 2 let. c et 34B RES, concernent des élèves, c’est-à-dire des personnes admises à suivre des cours au sein d’un établissement d’enseignement public, et non des personnes qui ne sont pas ou plus admises au sein d’un tel établissement, comme c’est le cas du recourant. Qui plus est, la dénomination même, l’absence de voies de droit et la brève motivation de l’interdiction de périmètre querellée confirment qu’il ne s’agit pas d’une décision au sens de la LPA.</w:t>
      </w:r>
    </w:p>
    <w:p>
      <w:r>
        <w:t>Il s’agit bien plutôt d’une mesure ressortissant au droit privé et visant à protéger la propriété et la possession (art. 679 et 926 ss CCS ; ATA/710/2016</w:t>
      </w:r>
    </w:p>
    <w:p>
      <w:r>
        <w:t>- 5/6 - A/2572/2016 précité consid. 3), voire d’une manifestation de volonté de l’ayant droit, en l’occurrence l’État de Genève, interdisant à l’intéressé l’entrée dans le périmètre du collège, selon l’art. 186 du Code pénal suisse du 21 décembre 1937 (CP – RS 311.0 ; violation de domicile).</w:t>
      </w:r>
    </w:p>
    <w:p>
      <w:r>
        <w:t>Il ne s’agit dès lors pas d’un acte de puissance publique, mais uniquement de l’expression de la volonté de l’ayant droit de ces locaux (ATA/710/2016 précité).</w:t>
      </w:r>
    </w:p>
    <w:p>
      <w:r>
        <w:rPr>
          <w:b/>
        </w:rPr>
        <w:t>E. 4</w:t>
      </w:r>
    </w:p>
    <w:p>
      <w:r>
        <w:t>Pour ces motifs, en l’absence d’une décision attaquable au sens de l’art. 4 LPA, le recours est irrecevable, faute de compétence de la chambre administrative.</w:t>
      </w:r>
    </w:p>
    <w:p>
      <w:r>
        <w:t>Cette irrecevabilité retenue sans instruction préalable, en application de l’art. 72 LPA, rend sans objet la requête de mesures provisionnelles.</w:t>
      </w:r>
    </w:p>
    <w:p>
      <w:r>
        <w:t>Au regard des circonstances particulières du présent cas, il ne sera pas perçu d’émolument (art. 87 al. 1 LPA). Vu l’issue de la procédure, une indemnité ne saurait en tout état de cause être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